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6738A" w14:textId="77777777" w:rsidR="00DE1926" w:rsidRDefault="00DE1926" w:rsidP="00A646F3">
      <w:pPr>
        <w:pStyle w:val="Grundtext"/>
      </w:pPr>
    </w:p>
    <w:p w14:paraId="747B605A" w14:textId="77777777" w:rsidR="000626A4" w:rsidRDefault="00BB74D6" w:rsidP="00280BEF">
      <w:pPr>
        <w:pStyle w:val="Tabelle"/>
        <w:spacing w:before="120" w:after="30"/>
        <w:rPr>
          <w:b/>
          <w:sz w:val="20"/>
          <w:szCs w:val="22"/>
        </w:rPr>
      </w:pPr>
      <w:r>
        <w:rPr>
          <w:b/>
          <w:sz w:val="20"/>
          <w:szCs w:val="22"/>
        </w:rPr>
        <w:t xml:space="preserve">Décompte pour les suppléances / </w:t>
      </w:r>
    </w:p>
    <w:p w14:paraId="3C2C5A20" w14:textId="27941A97" w:rsidR="00280BEF" w:rsidRDefault="00BB74D6" w:rsidP="001146BE">
      <w:pPr>
        <w:pStyle w:val="Tabelle"/>
        <w:spacing w:before="120" w:after="30"/>
        <w:rPr>
          <w:b/>
          <w:sz w:val="20"/>
          <w:szCs w:val="22"/>
        </w:rPr>
      </w:pPr>
      <w:r>
        <w:rPr>
          <w:b/>
          <w:sz w:val="20"/>
          <w:szCs w:val="22"/>
        </w:rPr>
        <w:t xml:space="preserve">frais </w:t>
      </w:r>
      <w:r w:rsidR="001146BE">
        <w:rPr>
          <w:b/>
          <w:sz w:val="20"/>
          <w:szCs w:val="22"/>
        </w:rPr>
        <w:t>à l’intention des</w:t>
      </w:r>
      <w:r>
        <w:rPr>
          <w:b/>
          <w:sz w:val="20"/>
          <w:szCs w:val="22"/>
        </w:rPr>
        <w:t xml:space="preserve"> pasteures régionales et pasteurs régionaux</w:t>
      </w:r>
    </w:p>
    <w:p w14:paraId="0C8A5A2A" w14:textId="77777777" w:rsidR="000626A4" w:rsidRDefault="000626A4" w:rsidP="00280BEF">
      <w:pPr>
        <w:pStyle w:val="Tabelle"/>
        <w:spacing w:before="120" w:after="30"/>
        <w:rPr>
          <w:b/>
          <w:sz w:val="20"/>
          <w:szCs w:val="22"/>
        </w:rPr>
      </w:pPr>
    </w:p>
    <w:p w14:paraId="32B1BD3F" w14:textId="52CC65BF" w:rsidR="000270FC" w:rsidRPr="000270FC" w:rsidRDefault="00846F04" w:rsidP="007B750A">
      <w:pPr>
        <w:pStyle w:val="Tabelle"/>
        <w:spacing w:before="120" w:after="30"/>
      </w:pPr>
      <w:r>
        <w:t>Formulaire destiné au décompte des frais de suppléance à supporter par l’Eglise cantonale en cas de maladie, d’accident, de service militaire</w:t>
      </w:r>
      <w:r w:rsidR="000626A4">
        <w:t xml:space="preserve"> </w:t>
      </w:r>
      <w:r w:rsidR="000270FC">
        <w:t xml:space="preserve">ou dans la protection civile, de congé de maternité, de congé payé </w:t>
      </w:r>
      <w:r w:rsidR="007B750A">
        <w:t>au titre de</w:t>
      </w:r>
      <w:r w:rsidR="000270FC">
        <w:t xml:space="preserve"> prime de fidélité ou </w:t>
      </w:r>
      <w:r w:rsidR="007B750A">
        <w:t xml:space="preserve">en cas </w:t>
      </w:r>
      <w:bookmarkStart w:id="0" w:name="_GoBack"/>
      <w:bookmarkEnd w:id="0"/>
      <w:r w:rsidR="000270FC">
        <w:t>de vacance d’un poste pastoral (il conviendra de remettre sans tarder au service du personnel le certificat médical en cas de maladie ou d’accident, et la carte d’avis de solde en cas de service militaire ou dans la protection civile).</w:t>
      </w:r>
    </w:p>
    <w:p w14:paraId="67B5F85F" w14:textId="77777777" w:rsidR="000270FC" w:rsidRDefault="000270FC" w:rsidP="000270FC">
      <w:pPr>
        <w:pStyle w:val="Tabelle"/>
        <w:spacing w:before="120" w:after="30"/>
      </w:pPr>
    </w:p>
    <w:tbl>
      <w:tblPr>
        <w:tblStyle w:val="Tabellenraster"/>
        <w:tblW w:w="9665" w:type="dxa"/>
        <w:tblInd w:w="-5" w:type="dxa"/>
        <w:tblLayout w:type="fixed"/>
        <w:tblLook w:val="04A0" w:firstRow="1" w:lastRow="0" w:firstColumn="1" w:lastColumn="0" w:noHBand="0" w:noVBand="1"/>
      </w:tblPr>
      <w:tblGrid>
        <w:gridCol w:w="709"/>
        <w:gridCol w:w="567"/>
        <w:gridCol w:w="4820"/>
        <w:gridCol w:w="3544"/>
        <w:gridCol w:w="25"/>
      </w:tblGrid>
      <w:tr w:rsidR="000270FC" w:rsidRPr="00D03496" w14:paraId="4774E122" w14:textId="77777777" w:rsidTr="00526247">
        <w:trPr>
          <w:trHeight w:val="567"/>
        </w:trPr>
        <w:tc>
          <w:tcPr>
            <w:tcW w:w="9665" w:type="dxa"/>
            <w:gridSpan w:val="5"/>
          </w:tcPr>
          <w:p w14:paraId="4B063039" w14:textId="77777777" w:rsidR="000270FC" w:rsidRPr="00D03496" w:rsidRDefault="000270FC" w:rsidP="00526247">
            <w:pPr>
              <w:rPr>
                <w:rFonts w:cs="Arial"/>
                <w:color w:val="000000"/>
                <w:sz w:val="16"/>
                <w:szCs w:val="16"/>
              </w:rPr>
            </w:pPr>
            <w:r>
              <w:rPr>
                <w:b/>
                <w:color w:val="000000"/>
                <w:sz w:val="16"/>
                <w:szCs w:val="16"/>
              </w:rPr>
              <w:t>1. Suppléance de la pasteure / du pasteur</w:t>
            </w:r>
          </w:p>
        </w:tc>
      </w:tr>
      <w:tr w:rsidR="000270FC" w:rsidRPr="00D03496" w14:paraId="6024486D" w14:textId="77777777" w:rsidTr="00526247">
        <w:trPr>
          <w:trHeight w:val="567"/>
        </w:trPr>
        <w:tc>
          <w:tcPr>
            <w:tcW w:w="9665" w:type="dxa"/>
            <w:gridSpan w:val="5"/>
          </w:tcPr>
          <w:p w14:paraId="69EDBACD" w14:textId="77777777" w:rsidR="000270FC" w:rsidRPr="00D03496" w:rsidRDefault="000270FC" w:rsidP="00526247">
            <w:pPr>
              <w:rPr>
                <w:rFonts w:cs="Arial"/>
                <w:color w:val="000000"/>
                <w:sz w:val="16"/>
                <w:szCs w:val="16"/>
              </w:rPr>
            </w:pPr>
            <w:r>
              <w:rPr>
                <w:color w:val="000000"/>
                <w:sz w:val="16"/>
                <w:szCs w:val="16"/>
              </w:rPr>
              <w:t>Motif de la suppléance</w:t>
            </w:r>
          </w:p>
        </w:tc>
      </w:tr>
      <w:tr w:rsidR="000270FC" w:rsidRPr="00D03496" w14:paraId="49477EFC" w14:textId="77777777" w:rsidTr="00526247">
        <w:trPr>
          <w:trHeight w:val="567"/>
        </w:trPr>
        <w:tc>
          <w:tcPr>
            <w:tcW w:w="9665" w:type="dxa"/>
            <w:gridSpan w:val="5"/>
          </w:tcPr>
          <w:p w14:paraId="6AFB6466" w14:textId="77777777" w:rsidR="000270FC" w:rsidRPr="00D03496" w:rsidRDefault="000270FC" w:rsidP="00526247">
            <w:pPr>
              <w:rPr>
                <w:rFonts w:cs="Arial"/>
                <w:color w:val="000000"/>
                <w:sz w:val="16"/>
                <w:szCs w:val="16"/>
              </w:rPr>
            </w:pPr>
            <w:r>
              <w:rPr>
                <w:b/>
                <w:color w:val="000000"/>
                <w:sz w:val="16"/>
                <w:szCs w:val="16"/>
              </w:rPr>
              <w:t>2. Données relatives à la suppléance</w:t>
            </w:r>
          </w:p>
        </w:tc>
      </w:tr>
      <w:tr w:rsidR="000270FC" w:rsidRPr="00D03496" w14:paraId="4AC9AEB5" w14:textId="77777777" w:rsidTr="00526247">
        <w:trPr>
          <w:gridAfter w:val="1"/>
          <w:wAfter w:w="25" w:type="dxa"/>
          <w:trHeight w:val="380"/>
        </w:trPr>
        <w:tc>
          <w:tcPr>
            <w:tcW w:w="1276" w:type="dxa"/>
            <w:gridSpan w:val="2"/>
          </w:tcPr>
          <w:p w14:paraId="56DF72F8" w14:textId="77777777" w:rsidR="000270FC" w:rsidRPr="00D03496" w:rsidRDefault="000270FC" w:rsidP="00526247">
            <w:pPr>
              <w:rPr>
                <w:rFonts w:cs="Arial"/>
                <w:color w:val="000000"/>
                <w:sz w:val="16"/>
                <w:szCs w:val="16"/>
              </w:rPr>
            </w:pPr>
            <w:r>
              <w:rPr>
                <w:color w:val="000000"/>
                <w:sz w:val="16"/>
                <w:szCs w:val="16"/>
              </w:rPr>
              <w:t>Année</w:t>
            </w:r>
            <w:r>
              <w:rPr>
                <w:color w:val="000000"/>
                <w:sz w:val="16"/>
                <w:szCs w:val="16"/>
              </w:rPr>
              <w:br/>
              <w:t>20..</w:t>
            </w:r>
          </w:p>
        </w:tc>
        <w:tc>
          <w:tcPr>
            <w:tcW w:w="4820" w:type="dxa"/>
          </w:tcPr>
          <w:p w14:paraId="554A83BC" w14:textId="77777777" w:rsidR="000270FC" w:rsidRPr="00D03496" w:rsidRDefault="000270FC" w:rsidP="00846F04">
            <w:pPr>
              <w:rPr>
                <w:rFonts w:cs="Arial"/>
                <w:color w:val="000000"/>
                <w:sz w:val="16"/>
                <w:szCs w:val="16"/>
              </w:rPr>
            </w:pPr>
            <w:r>
              <w:rPr>
                <w:color w:val="000000"/>
                <w:sz w:val="16"/>
                <w:szCs w:val="16"/>
              </w:rPr>
              <w:t>Type de suppléance/</w:t>
            </w:r>
          </w:p>
        </w:tc>
        <w:tc>
          <w:tcPr>
            <w:tcW w:w="3544" w:type="dxa"/>
          </w:tcPr>
          <w:p w14:paraId="26ACB5DD" w14:textId="77777777" w:rsidR="000270FC" w:rsidRPr="00D03496" w:rsidRDefault="000270FC" w:rsidP="00526247">
            <w:pPr>
              <w:rPr>
                <w:rFonts w:cs="Arial"/>
                <w:color w:val="000000"/>
                <w:sz w:val="16"/>
                <w:szCs w:val="16"/>
              </w:rPr>
            </w:pPr>
            <w:r>
              <w:rPr>
                <w:color w:val="000000"/>
                <w:sz w:val="16"/>
                <w:szCs w:val="16"/>
              </w:rPr>
              <w:t>Indemnité</w:t>
            </w:r>
          </w:p>
        </w:tc>
      </w:tr>
      <w:tr w:rsidR="000270FC" w:rsidRPr="00D03496" w14:paraId="624983A2" w14:textId="77777777" w:rsidTr="00526247">
        <w:trPr>
          <w:gridAfter w:val="1"/>
          <w:wAfter w:w="25" w:type="dxa"/>
          <w:trHeight w:val="380"/>
        </w:trPr>
        <w:tc>
          <w:tcPr>
            <w:tcW w:w="709" w:type="dxa"/>
          </w:tcPr>
          <w:p w14:paraId="36404446" w14:textId="77777777" w:rsidR="000270FC" w:rsidRPr="00D03496" w:rsidRDefault="000270FC" w:rsidP="00526247">
            <w:pPr>
              <w:rPr>
                <w:rFonts w:cs="Arial"/>
                <w:color w:val="000000"/>
                <w:sz w:val="16"/>
                <w:szCs w:val="16"/>
              </w:rPr>
            </w:pPr>
            <w:r>
              <w:rPr>
                <w:color w:val="000000"/>
                <w:sz w:val="16"/>
                <w:szCs w:val="16"/>
              </w:rPr>
              <w:t>Jour</w:t>
            </w:r>
          </w:p>
        </w:tc>
        <w:tc>
          <w:tcPr>
            <w:tcW w:w="567" w:type="dxa"/>
          </w:tcPr>
          <w:p w14:paraId="5A880832" w14:textId="77777777" w:rsidR="000270FC" w:rsidRPr="00D03496" w:rsidRDefault="000270FC" w:rsidP="00526247">
            <w:pPr>
              <w:rPr>
                <w:rFonts w:cs="Arial"/>
                <w:color w:val="000000"/>
                <w:sz w:val="16"/>
                <w:szCs w:val="16"/>
              </w:rPr>
            </w:pPr>
            <w:r>
              <w:rPr>
                <w:color w:val="000000"/>
                <w:sz w:val="16"/>
                <w:szCs w:val="16"/>
              </w:rPr>
              <w:t>Mois</w:t>
            </w:r>
          </w:p>
        </w:tc>
        <w:tc>
          <w:tcPr>
            <w:tcW w:w="4820" w:type="dxa"/>
          </w:tcPr>
          <w:p w14:paraId="2FAF4D0B" w14:textId="77777777" w:rsidR="000270FC" w:rsidRPr="00D03496" w:rsidRDefault="000270FC" w:rsidP="00526247">
            <w:pPr>
              <w:rPr>
                <w:rFonts w:cs="Arial"/>
                <w:color w:val="000000"/>
                <w:sz w:val="16"/>
                <w:szCs w:val="16"/>
              </w:rPr>
            </w:pPr>
          </w:p>
        </w:tc>
        <w:tc>
          <w:tcPr>
            <w:tcW w:w="3544" w:type="dxa"/>
          </w:tcPr>
          <w:p w14:paraId="732B6188" w14:textId="77777777" w:rsidR="000270FC" w:rsidRPr="00D03496" w:rsidRDefault="000270FC" w:rsidP="00526247">
            <w:pPr>
              <w:rPr>
                <w:rFonts w:cs="Arial"/>
                <w:color w:val="000000"/>
                <w:sz w:val="16"/>
                <w:szCs w:val="16"/>
              </w:rPr>
            </w:pPr>
            <w:r>
              <w:rPr>
                <w:color w:val="000000"/>
                <w:sz w:val="16"/>
                <w:szCs w:val="16"/>
              </w:rPr>
              <w:t>Fr.</w:t>
            </w:r>
          </w:p>
        </w:tc>
      </w:tr>
      <w:tr w:rsidR="000270FC" w:rsidRPr="00D03496" w14:paraId="0CD91C7B" w14:textId="77777777" w:rsidTr="00526247">
        <w:trPr>
          <w:gridAfter w:val="1"/>
          <w:wAfter w:w="25" w:type="dxa"/>
          <w:trHeight w:val="380"/>
        </w:trPr>
        <w:tc>
          <w:tcPr>
            <w:tcW w:w="709" w:type="dxa"/>
          </w:tcPr>
          <w:p w14:paraId="394BC6FA" w14:textId="77777777" w:rsidR="000270FC" w:rsidRPr="00D03496" w:rsidRDefault="000270FC" w:rsidP="00526247">
            <w:pPr>
              <w:jc w:val="right"/>
              <w:rPr>
                <w:rFonts w:cs="Arial"/>
                <w:color w:val="000000"/>
                <w:sz w:val="16"/>
                <w:szCs w:val="16"/>
                <w:lang w:val="fr-FR"/>
              </w:rPr>
            </w:pPr>
          </w:p>
        </w:tc>
        <w:tc>
          <w:tcPr>
            <w:tcW w:w="567" w:type="dxa"/>
          </w:tcPr>
          <w:p w14:paraId="2B1D3897" w14:textId="77777777" w:rsidR="000270FC" w:rsidRPr="00D03496" w:rsidRDefault="000270FC" w:rsidP="00526247">
            <w:pPr>
              <w:jc w:val="right"/>
              <w:rPr>
                <w:rFonts w:cs="Arial"/>
                <w:color w:val="000000"/>
                <w:sz w:val="16"/>
                <w:szCs w:val="16"/>
                <w:lang w:val="fr-FR"/>
              </w:rPr>
            </w:pPr>
          </w:p>
        </w:tc>
        <w:tc>
          <w:tcPr>
            <w:tcW w:w="4820" w:type="dxa"/>
          </w:tcPr>
          <w:p w14:paraId="1B10D58B" w14:textId="77777777" w:rsidR="000270FC" w:rsidRPr="00D03496" w:rsidRDefault="000270FC" w:rsidP="00526247">
            <w:pPr>
              <w:rPr>
                <w:rFonts w:cs="Arial"/>
                <w:color w:val="000000"/>
                <w:sz w:val="16"/>
                <w:szCs w:val="16"/>
                <w:lang w:val="fr-FR"/>
              </w:rPr>
            </w:pPr>
          </w:p>
        </w:tc>
        <w:tc>
          <w:tcPr>
            <w:tcW w:w="3544" w:type="dxa"/>
          </w:tcPr>
          <w:p w14:paraId="6FDD036B" w14:textId="77777777" w:rsidR="000270FC" w:rsidRPr="00D03496" w:rsidRDefault="000270FC" w:rsidP="00526247">
            <w:pPr>
              <w:jc w:val="right"/>
              <w:rPr>
                <w:rFonts w:cs="Arial"/>
                <w:color w:val="000000"/>
                <w:sz w:val="16"/>
                <w:szCs w:val="16"/>
                <w:lang w:val="fr-FR"/>
              </w:rPr>
            </w:pPr>
          </w:p>
        </w:tc>
      </w:tr>
      <w:tr w:rsidR="000270FC" w:rsidRPr="00D03496" w14:paraId="4B72CDA0" w14:textId="77777777" w:rsidTr="00526247">
        <w:trPr>
          <w:gridAfter w:val="1"/>
          <w:wAfter w:w="25" w:type="dxa"/>
          <w:trHeight w:val="380"/>
        </w:trPr>
        <w:tc>
          <w:tcPr>
            <w:tcW w:w="709" w:type="dxa"/>
          </w:tcPr>
          <w:p w14:paraId="002650DC" w14:textId="77777777" w:rsidR="000270FC" w:rsidRPr="00D03496" w:rsidRDefault="000270FC" w:rsidP="00526247">
            <w:pPr>
              <w:jc w:val="right"/>
              <w:rPr>
                <w:rFonts w:cs="Arial"/>
                <w:color w:val="000000"/>
                <w:sz w:val="16"/>
                <w:szCs w:val="16"/>
                <w:lang w:val="fr-FR"/>
              </w:rPr>
            </w:pPr>
          </w:p>
        </w:tc>
        <w:tc>
          <w:tcPr>
            <w:tcW w:w="567" w:type="dxa"/>
          </w:tcPr>
          <w:p w14:paraId="58F8C7E9" w14:textId="77777777" w:rsidR="000270FC" w:rsidRPr="00D03496" w:rsidRDefault="000270FC" w:rsidP="00526247">
            <w:pPr>
              <w:jc w:val="right"/>
              <w:rPr>
                <w:rFonts w:cs="Arial"/>
                <w:color w:val="000000"/>
                <w:sz w:val="16"/>
                <w:szCs w:val="16"/>
                <w:lang w:val="fr-FR"/>
              </w:rPr>
            </w:pPr>
          </w:p>
        </w:tc>
        <w:tc>
          <w:tcPr>
            <w:tcW w:w="4820" w:type="dxa"/>
          </w:tcPr>
          <w:p w14:paraId="5B1A1421" w14:textId="77777777" w:rsidR="000270FC" w:rsidRPr="00D03496" w:rsidRDefault="000270FC" w:rsidP="00526247">
            <w:pPr>
              <w:rPr>
                <w:rFonts w:cs="Arial"/>
                <w:color w:val="000000"/>
                <w:sz w:val="16"/>
                <w:szCs w:val="16"/>
                <w:lang w:val="fr-FR"/>
              </w:rPr>
            </w:pPr>
          </w:p>
        </w:tc>
        <w:tc>
          <w:tcPr>
            <w:tcW w:w="3544" w:type="dxa"/>
          </w:tcPr>
          <w:p w14:paraId="12832017" w14:textId="77777777" w:rsidR="000270FC" w:rsidRPr="00D03496" w:rsidRDefault="000270FC" w:rsidP="00526247">
            <w:pPr>
              <w:jc w:val="right"/>
              <w:rPr>
                <w:rFonts w:cs="Arial"/>
                <w:color w:val="000000"/>
                <w:sz w:val="16"/>
                <w:szCs w:val="16"/>
                <w:lang w:val="fr-FR"/>
              </w:rPr>
            </w:pPr>
          </w:p>
        </w:tc>
      </w:tr>
      <w:tr w:rsidR="000270FC" w:rsidRPr="00D03496" w14:paraId="7536B577" w14:textId="77777777" w:rsidTr="00526247">
        <w:trPr>
          <w:gridAfter w:val="1"/>
          <w:wAfter w:w="25" w:type="dxa"/>
          <w:trHeight w:val="380"/>
        </w:trPr>
        <w:tc>
          <w:tcPr>
            <w:tcW w:w="709" w:type="dxa"/>
          </w:tcPr>
          <w:p w14:paraId="0E47409B" w14:textId="77777777" w:rsidR="000270FC" w:rsidRPr="00D03496" w:rsidRDefault="000270FC" w:rsidP="00526247">
            <w:pPr>
              <w:jc w:val="right"/>
              <w:rPr>
                <w:rFonts w:cs="Arial"/>
                <w:color w:val="000000"/>
                <w:sz w:val="16"/>
                <w:szCs w:val="16"/>
                <w:lang w:val="fr-FR"/>
              </w:rPr>
            </w:pPr>
          </w:p>
        </w:tc>
        <w:tc>
          <w:tcPr>
            <w:tcW w:w="567" w:type="dxa"/>
          </w:tcPr>
          <w:p w14:paraId="5E8626BD" w14:textId="77777777" w:rsidR="000270FC" w:rsidRPr="00D03496" w:rsidRDefault="000270FC" w:rsidP="00526247">
            <w:pPr>
              <w:jc w:val="right"/>
              <w:rPr>
                <w:rFonts w:cs="Arial"/>
                <w:color w:val="000000"/>
                <w:sz w:val="16"/>
                <w:szCs w:val="16"/>
                <w:lang w:val="fr-FR"/>
              </w:rPr>
            </w:pPr>
          </w:p>
        </w:tc>
        <w:tc>
          <w:tcPr>
            <w:tcW w:w="4820" w:type="dxa"/>
          </w:tcPr>
          <w:p w14:paraId="5B8915D9" w14:textId="77777777" w:rsidR="000270FC" w:rsidRPr="00D03496" w:rsidRDefault="000270FC" w:rsidP="00526247">
            <w:pPr>
              <w:rPr>
                <w:rFonts w:cs="Arial"/>
                <w:color w:val="000000"/>
                <w:sz w:val="16"/>
                <w:szCs w:val="16"/>
                <w:lang w:val="fr-FR"/>
              </w:rPr>
            </w:pPr>
          </w:p>
        </w:tc>
        <w:tc>
          <w:tcPr>
            <w:tcW w:w="3544" w:type="dxa"/>
          </w:tcPr>
          <w:p w14:paraId="351802F8" w14:textId="77777777" w:rsidR="000270FC" w:rsidRPr="00D03496" w:rsidRDefault="000270FC" w:rsidP="00526247">
            <w:pPr>
              <w:jc w:val="right"/>
              <w:rPr>
                <w:rFonts w:cs="Arial"/>
                <w:color w:val="000000"/>
                <w:sz w:val="16"/>
                <w:szCs w:val="16"/>
                <w:lang w:val="fr-FR"/>
              </w:rPr>
            </w:pPr>
          </w:p>
        </w:tc>
      </w:tr>
      <w:tr w:rsidR="000270FC" w:rsidRPr="00D03496" w14:paraId="6A20170A" w14:textId="77777777" w:rsidTr="00526247">
        <w:trPr>
          <w:gridAfter w:val="1"/>
          <w:wAfter w:w="25" w:type="dxa"/>
          <w:trHeight w:val="380"/>
        </w:trPr>
        <w:tc>
          <w:tcPr>
            <w:tcW w:w="709" w:type="dxa"/>
          </w:tcPr>
          <w:p w14:paraId="4EDC7A1C" w14:textId="77777777" w:rsidR="000270FC" w:rsidRPr="00D03496" w:rsidRDefault="000270FC" w:rsidP="00526247">
            <w:pPr>
              <w:jc w:val="right"/>
              <w:rPr>
                <w:rFonts w:cs="Arial"/>
                <w:color w:val="000000"/>
                <w:sz w:val="16"/>
                <w:szCs w:val="16"/>
                <w:lang w:val="fr-FR"/>
              </w:rPr>
            </w:pPr>
          </w:p>
        </w:tc>
        <w:tc>
          <w:tcPr>
            <w:tcW w:w="567" w:type="dxa"/>
          </w:tcPr>
          <w:p w14:paraId="7B4562F4" w14:textId="77777777" w:rsidR="000270FC" w:rsidRPr="00D03496" w:rsidRDefault="000270FC" w:rsidP="00526247">
            <w:pPr>
              <w:jc w:val="right"/>
              <w:rPr>
                <w:rFonts w:cs="Arial"/>
                <w:color w:val="000000"/>
                <w:sz w:val="16"/>
                <w:szCs w:val="16"/>
                <w:lang w:val="fr-FR"/>
              </w:rPr>
            </w:pPr>
          </w:p>
        </w:tc>
        <w:tc>
          <w:tcPr>
            <w:tcW w:w="4820" w:type="dxa"/>
          </w:tcPr>
          <w:p w14:paraId="2FF2223A" w14:textId="77777777" w:rsidR="000270FC" w:rsidRPr="00D03496" w:rsidRDefault="000270FC" w:rsidP="00526247">
            <w:pPr>
              <w:rPr>
                <w:rFonts w:cs="Arial"/>
                <w:color w:val="000000"/>
                <w:sz w:val="16"/>
                <w:szCs w:val="16"/>
                <w:lang w:val="fr-FR"/>
              </w:rPr>
            </w:pPr>
          </w:p>
        </w:tc>
        <w:tc>
          <w:tcPr>
            <w:tcW w:w="3544" w:type="dxa"/>
          </w:tcPr>
          <w:p w14:paraId="7717E103" w14:textId="77777777" w:rsidR="000270FC" w:rsidRPr="00D03496" w:rsidRDefault="000270FC" w:rsidP="00526247">
            <w:pPr>
              <w:jc w:val="right"/>
              <w:rPr>
                <w:rFonts w:cs="Arial"/>
                <w:color w:val="000000"/>
                <w:sz w:val="16"/>
                <w:szCs w:val="16"/>
                <w:lang w:val="fr-FR"/>
              </w:rPr>
            </w:pPr>
          </w:p>
        </w:tc>
      </w:tr>
      <w:tr w:rsidR="000270FC" w:rsidRPr="00D03496" w14:paraId="39CA2D7D" w14:textId="77777777" w:rsidTr="00526247">
        <w:trPr>
          <w:gridAfter w:val="1"/>
          <w:wAfter w:w="25" w:type="dxa"/>
          <w:trHeight w:val="380"/>
        </w:trPr>
        <w:tc>
          <w:tcPr>
            <w:tcW w:w="709" w:type="dxa"/>
          </w:tcPr>
          <w:p w14:paraId="6C20CAA6" w14:textId="77777777" w:rsidR="000270FC" w:rsidRPr="00D03496" w:rsidRDefault="000270FC" w:rsidP="00526247">
            <w:pPr>
              <w:jc w:val="right"/>
              <w:rPr>
                <w:rFonts w:cs="Arial"/>
                <w:color w:val="000000"/>
                <w:sz w:val="16"/>
                <w:szCs w:val="16"/>
                <w:lang w:val="fr-FR"/>
              </w:rPr>
            </w:pPr>
          </w:p>
        </w:tc>
        <w:tc>
          <w:tcPr>
            <w:tcW w:w="567" w:type="dxa"/>
          </w:tcPr>
          <w:p w14:paraId="410B3159" w14:textId="77777777" w:rsidR="000270FC" w:rsidRPr="00D03496" w:rsidRDefault="000270FC" w:rsidP="00526247">
            <w:pPr>
              <w:jc w:val="right"/>
              <w:rPr>
                <w:rFonts w:cs="Arial"/>
                <w:color w:val="000000"/>
                <w:sz w:val="16"/>
                <w:szCs w:val="16"/>
                <w:lang w:val="fr-FR"/>
              </w:rPr>
            </w:pPr>
          </w:p>
        </w:tc>
        <w:tc>
          <w:tcPr>
            <w:tcW w:w="4820" w:type="dxa"/>
          </w:tcPr>
          <w:p w14:paraId="657104A9" w14:textId="77777777" w:rsidR="000270FC" w:rsidRPr="00D03496" w:rsidRDefault="000270FC" w:rsidP="00526247">
            <w:pPr>
              <w:rPr>
                <w:rFonts w:cs="Arial"/>
                <w:color w:val="000000"/>
                <w:sz w:val="16"/>
                <w:szCs w:val="16"/>
                <w:lang w:val="fr-FR"/>
              </w:rPr>
            </w:pPr>
          </w:p>
        </w:tc>
        <w:tc>
          <w:tcPr>
            <w:tcW w:w="3544" w:type="dxa"/>
          </w:tcPr>
          <w:p w14:paraId="3BCCC5B9" w14:textId="77777777" w:rsidR="000270FC" w:rsidRPr="00D03496" w:rsidRDefault="000270FC" w:rsidP="00526247">
            <w:pPr>
              <w:jc w:val="right"/>
              <w:rPr>
                <w:rFonts w:cs="Arial"/>
                <w:color w:val="000000"/>
                <w:sz w:val="16"/>
                <w:szCs w:val="16"/>
                <w:lang w:val="fr-FR"/>
              </w:rPr>
            </w:pPr>
          </w:p>
        </w:tc>
      </w:tr>
      <w:tr w:rsidR="000270FC" w:rsidRPr="00D03496" w14:paraId="7E751252" w14:textId="77777777" w:rsidTr="00526247">
        <w:trPr>
          <w:gridAfter w:val="1"/>
          <w:wAfter w:w="25" w:type="dxa"/>
          <w:trHeight w:val="380"/>
        </w:trPr>
        <w:tc>
          <w:tcPr>
            <w:tcW w:w="709" w:type="dxa"/>
          </w:tcPr>
          <w:p w14:paraId="1C3FE1BD" w14:textId="77777777" w:rsidR="000270FC" w:rsidRPr="00D03496" w:rsidRDefault="000270FC" w:rsidP="00526247">
            <w:pPr>
              <w:jc w:val="right"/>
              <w:rPr>
                <w:rFonts w:cs="Arial"/>
                <w:color w:val="000000"/>
                <w:sz w:val="16"/>
                <w:szCs w:val="16"/>
                <w:lang w:val="fr-FR"/>
              </w:rPr>
            </w:pPr>
          </w:p>
        </w:tc>
        <w:tc>
          <w:tcPr>
            <w:tcW w:w="567" w:type="dxa"/>
          </w:tcPr>
          <w:p w14:paraId="59C3D485" w14:textId="77777777" w:rsidR="000270FC" w:rsidRPr="00D03496" w:rsidRDefault="000270FC" w:rsidP="00526247">
            <w:pPr>
              <w:jc w:val="right"/>
              <w:rPr>
                <w:rFonts w:cs="Arial"/>
                <w:color w:val="000000"/>
                <w:sz w:val="16"/>
                <w:szCs w:val="16"/>
                <w:lang w:val="fr-FR"/>
              </w:rPr>
            </w:pPr>
          </w:p>
        </w:tc>
        <w:tc>
          <w:tcPr>
            <w:tcW w:w="4820" w:type="dxa"/>
          </w:tcPr>
          <w:p w14:paraId="48BCC962" w14:textId="77777777" w:rsidR="000270FC" w:rsidRPr="00D03496" w:rsidRDefault="000270FC" w:rsidP="00526247">
            <w:pPr>
              <w:rPr>
                <w:rFonts w:cs="Arial"/>
                <w:color w:val="000000"/>
                <w:sz w:val="16"/>
                <w:szCs w:val="16"/>
                <w:lang w:val="fr-FR"/>
              </w:rPr>
            </w:pPr>
          </w:p>
        </w:tc>
        <w:tc>
          <w:tcPr>
            <w:tcW w:w="3544" w:type="dxa"/>
          </w:tcPr>
          <w:p w14:paraId="0D8690FE" w14:textId="77777777" w:rsidR="000270FC" w:rsidRPr="00D03496" w:rsidRDefault="000270FC" w:rsidP="00526247">
            <w:pPr>
              <w:jc w:val="right"/>
              <w:rPr>
                <w:rFonts w:cs="Arial"/>
                <w:color w:val="000000"/>
                <w:sz w:val="16"/>
                <w:szCs w:val="16"/>
                <w:lang w:val="fr-FR"/>
              </w:rPr>
            </w:pPr>
          </w:p>
        </w:tc>
      </w:tr>
      <w:tr w:rsidR="000270FC" w:rsidRPr="00D03496" w14:paraId="28BC00A1" w14:textId="77777777" w:rsidTr="00526247">
        <w:trPr>
          <w:gridAfter w:val="1"/>
          <w:wAfter w:w="25" w:type="dxa"/>
          <w:trHeight w:val="380"/>
        </w:trPr>
        <w:tc>
          <w:tcPr>
            <w:tcW w:w="709" w:type="dxa"/>
          </w:tcPr>
          <w:p w14:paraId="6C4CE0E0" w14:textId="77777777" w:rsidR="000270FC" w:rsidRPr="00D03496" w:rsidRDefault="000270FC" w:rsidP="00526247">
            <w:pPr>
              <w:jc w:val="right"/>
              <w:rPr>
                <w:rFonts w:cs="Arial"/>
                <w:color w:val="000000"/>
                <w:sz w:val="16"/>
                <w:szCs w:val="16"/>
                <w:lang w:val="fr-FR"/>
              </w:rPr>
            </w:pPr>
          </w:p>
        </w:tc>
        <w:tc>
          <w:tcPr>
            <w:tcW w:w="567" w:type="dxa"/>
          </w:tcPr>
          <w:p w14:paraId="5C5BF2C6" w14:textId="77777777" w:rsidR="000270FC" w:rsidRPr="00D03496" w:rsidRDefault="000270FC" w:rsidP="00526247">
            <w:pPr>
              <w:jc w:val="right"/>
              <w:rPr>
                <w:rFonts w:cs="Arial"/>
                <w:color w:val="000000"/>
                <w:sz w:val="16"/>
                <w:szCs w:val="16"/>
                <w:lang w:val="fr-FR"/>
              </w:rPr>
            </w:pPr>
          </w:p>
        </w:tc>
        <w:tc>
          <w:tcPr>
            <w:tcW w:w="4820" w:type="dxa"/>
          </w:tcPr>
          <w:p w14:paraId="4E7D8A71" w14:textId="77777777" w:rsidR="000270FC" w:rsidRPr="00D03496" w:rsidRDefault="000270FC" w:rsidP="00526247">
            <w:pPr>
              <w:rPr>
                <w:rFonts w:cs="Arial"/>
                <w:color w:val="000000"/>
                <w:sz w:val="16"/>
                <w:szCs w:val="16"/>
                <w:lang w:val="fr-FR"/>
              </w:rPr>
            </w:pPr>
          </w:p>
        </w:tc>
        <w:tc>
          <w:tcPr>
            <w:tcW w:w="3544" w:type="dxa"/>
          </w:tcPr>
          <w:p w14:paraId="4134FC33" w14:textId="77777777" w:rsidR="000270FC" w:rsidRPr="00D03496" w:rsidRDefault="000270FC" w:rsidP="00526247">
            <w:pPr>
              <w:jc w:val="right"/>
              <w:rPr>
                <w:rFonts w:cs="Arial"/>
                <w:color w:val="000000"/>
                <w:sz w:val="16"/>
                <w:szCs w:val="16"/>
                <w:lang w:val="fr-FR"/>
              </w:rPr>
            </w:pPr>
          </w:p>
        </w:tc>
      </w:tr>
      <w:tr w:rsidR="000270FC" w:rsidRPr="00D03496" w14:paraId="51049C31" w14:textId="77777777" w:rsidTr="00526247">
        <w:trPr>
          <w:gridAfter w:val="1"/>
          <w:wAfter w:w="25" w:type="dxa"/>
          <w:trHeight w:val="380"/>
        </w:trPr>
        <w:tc>
          <w:tcPr>
            <w:tcW w:w="709" w:type="dxa"/>
          </w:tcPr>
          <w:p w14:paraId="4F70DAA2" w14:textId="77777777" w:rsidR="000270FC" w:rsidRPr="00D03496" w:rsidRDefault="000270FC" w:rsidP="00526247">
            <w:pPr>
              <w:jc w:val="right"/>
              <w:rPr>
                <w:rFonts w:cs="Arial"/>
                <w:color w:val="000000"/>
                <w:sz w:val="16"/>
                <w:szCs w:val="16"/>
                <w:lang w:val="fr-FR"/>
              </w:rPr>
            </w:pPr>
          </w:p>
        </w:tc>
        <w:tc>
          <w:tcPr>
            <w:tcW w:w="567" w:type="dxa"/>
          </w:tcPr>
          <w:p w14:paraId="378050E5" w14:textId="77777777" w:rsidR="000270FC" w:rsidRPr="00D03496" w:rsidRDefault="000270FC" w:rsidP="00526247">
            <w:pPr>
              <w:jc w:val="right"/>
              <w:rPr>
                <w:rFonts w:cs="Arial"/>
                <w:color w:val="000000"/>
                <w:sz w:val="16"/>
                <w:szCs w:val="16"/>
                <w:lang w:val="fr-FR"/>
              </w:rPr>
            </w:pPr>
          </w:p>
        </w:tc>
        <w:tc>
          <w:tcPr>
            <w:tcW w:w="4820" w:type="dxa"/>
          </w:tcPr>
          <w:p w14:paraId="50AC2513" w14:textId="77777777" w:rsidR="000270FC" w:rsidRPr="00D03496" w:rsidRDefault="000270FC" w:rsidP="00526247">
            <w:pPr>
              <w:rPr>
                <w:rFonts w:cs="Arial"/>
                <w:color w:val="000000"/>
                <w:sz w:val="16"/>
                <w:szCs w:val="16"/>
                <w:lang w:val="fr-FR"/>
              </w:rPr>
            </w:pPr>
          </w:p>
        </w:tc>
        <w:tc>
          <w:tcPr>
            <w:tcW w:w="3544" w:type="dxa"/>
            <w:tcBorders>
              <w:bottom w:val="single" w:sz="4" w:space="0" w:color="auto"/>
            </w:tcBorders>
          </w:tcPr>
          <w:p w14:paraId="77173978" w14:textId="77777777" w:rsidR="000270FC" w:rsidRPr="00D03496" w:rsidRDefault="000270FC" w:rsidP="00526247">
            <w:pPr>
              <w:jc w:val="right"/>
              <w:rPr>
                <w:rFonts w:cs="Arial"/>
                <w:color w:val="000000"/>
                <w:sz w:val="16"/>
                <w:szCs w:val="16"/>
                <w:lang w:val="fr-FR"/>
              </w:rPr>
            </w:pPr>
          </w:p>
        </w:tc>
      </w:tr>
      <w:tr w:rsidR="000270FC" w:rsidRPr="00D03496" w14:paraId="528DE7D3" w14:textId="77777777" w:rsidTr="00526247">
        <w:trPr>
          <w:gridAfter w:val="1"/>
          <w:wAfter w:w="25" w:type="dxa"/>
          <w:trHeight w:val="380"/>
        </w:trPr>
        <w:tc>
          <w:tcPr>
            <w:tcW w:w="6096" w:type="dxa"/>
            <w:gridSpan w:val="3"/>
            <w:tcBorders>
              <w:right w:val="single" w:sz="4" w:space="0" w:color="auto"/>
            </w:tcBorders>
          </w:tcPr>
          <w:p w14:paraId="38E8D759" w14:textId="77777777" w:rsidR="000270FC" w:rsidRPr="00D03496" w:rsidRDefault="000270FC" w:rsidP="00526247">
            <w:pPr>
              <w:jc w:val="right"/>
              <w:rPr>
                <w:rFonts w:cs="Arial"/>
                <w:color w:val="000000"/>
                <w:sz w:val="16"/>
                <w:szCs w:val="16"/>
              </w:rPr>
            </w:pPr>
            <w:r>
              <w:rPr>
                <w:color w:val="000000"/>
                <w:sz w:val="16"/>
                <w:szCs w:val="16"/>
              </w:rPr>
              <w:t>Total brut</w:t>
            </w:r>
          </w:p>
        </w:tc>
        <w:tc>
          <w:tcPr>
            <w:tcW w:w="3544" w:type="dxa"/>
            <w:tcBorders>
              <w:top w:val="single" w:sz="4" w:space="0" w:color="auto"/>
              <w:left w:val="single" w:sz="4" w:space="0" w:color="auto"/>
              <w:bottom w:val="single" w:sz="4" w:space="0" w:color="auto"/>
              <w:right w:val="single" w:sz="4" w:space="0" w:color="auto"/>
            </w:tcBorders>
          </w:tcPr>
          <w:p w14:paraId="579A391D" w14:textId="77777777" w:rsidR="000270FC" w:rsidRPr="00D03496" w:rsidRDefault="000270FC" w:rsidP="00526247">
            <w:pPr>
              <w:jc w:val="right"/>
              <w:rPr>
                <w:rFonts w:cs="Arial"/>
                <w:color w:val="000000"/>
                <w:sz w:val="16"/>
                <w:szCs w:val="16"/>
              </w:rPr>
            </w:pPr>
          </w:p>
        </w:tc>
      </w:tr>
      <w:tr w:rsidR="000270FC" w:rsidRPr="00D03496" w14:paraId="01579299" w14:textId="77777777" w:rsidTr="00526247">
        <w:trPr>
          <w:gridAfter w:val="1"/>
          <w:wAfter w:w="25" w:type="dxa"/>
          <w:trHeight w:val="722"/>
        </w:trPr>
        <w:tc>
          <w:tcPr>
            <w:tcW w:w="9640" w:type="dxa"/>
            <w:gridSpan w:val="4"/>
          </w:tcPr>
          <w:p w14:paraId="29035EC6" w14:textId="68E01947" w:rsidR="000270FC" w:rsidRPr="00D03496" w:rsidRDefault="000270FC" w:rsidP="001146BE">
            <w:pPr>
              <w:rPr>
                <w:rFonts w:cs="Arial"/>
                <w:color w:val="000000"/>
                <w:sz w:val="16"/>
                <w:szCs w:val="16"/>
              </w:rPr>
            </w:pPr>
            <w:r>
              <w:rPr>
                <w:b/>
                <w:color w:val="000000"/>
                <w:sz w:val="16"/>
                <w:szCs w:val="16"/>
              </w:rPr>
              <w:t xml:space="preserve">3. </w:t>
            </w:r>
            <w:r w:rsidR="001146BE" w:rsidRPr="00701464">
              <w:rPr>
                <w:b/>
                <w:bCs/>
                <w:color w:val="000000"/>
                <w:sz w:val="16"/>
                <w:szCs w:val="16"/>
              </w:rPr>
              <w:t>Pasteure régionale / pasteur régional</w:t>
            </w:r>
            <w:r>
              <w:rPr>
                <w:color w:val="000000"/>
                <w:sz w:val="16"/>
                <w:szCs w:val="16"/>
              </w:rPr>
              <w:t xml:space="preserve"> (nom, prénom) </w:t>
            </w:r>
          </w:p>
        </w:tc>
      </w:tr>
      <w:tr w:rsidR="000270FC" w:rsidRPr="00D03496" w14:paraId="620AE049" w14:textId="77777777" w:rsidTr="00526247">
        <w:trPr>
          <w:gridAfter w:val="1"/>
          <w:wAfter w:w="25" w:type="dxa"/>
          <w:trHeight w:val="722"/>
        </w:trPr>
        <w:tc>
          <w:tcPr>
            <w:tcW w:w="9640" w:type="dxa"/>
            <w:gridSpan w:val="4"/>
          </w:tcPr>
          <w:p w14:paraId="179FA1B2" w14:textId="77777777" w:rsidR="000270FC" w:rsidRPr="00D03496" w:rsidRDefault="000270FC" w:rsidP="00526247">
            <w:pPr>
              <w:rPr>
                <w:rFonts w:cs="Arial"/>
                <w:color w:val="000000"/>
                <w:sz w:val="16"/>
                <w:szCs w:val="16"/>
              </w:rPr>
            </w:pPr>
          </w:p>
        </w:tc>
      </w:tr>
      <w:tr w:rsidR="000270FC" w:rsidRPr="00D03496" w14:paraId="5B8FE419" w14:textId="77777777" w:rsidTr="00526247">
        <w:trPr>
          <w:gridAfter w:val="1"/>
          <w:wAfter w:w="25" w:type="dxa"/>
          <w:trHeight w:val="722"/>
        </w:trPr>
        <w:tc>
          <w:tcPr>
            <w:tcW w:w="6096" w:type="dxa"/>
            <w:gridSpan w:val="3"/>
          </w:tcPr>
          <w:p w14:paraId="564B45D2" w14:textId="77777777" w:rsidR="000270FC" w:rsidRPr="00D03496" w:rsidRDefault="000270FC" w:rsidP="00526247">
            <w:pPr>
              <w:rPr>
                <w:rFonts w:cs="Arial"/>
                <w:color w:val="000000"/>
                <w:sz w:val="16"/>
                <w:szCs w:val="16"/>
              </w:rPr>
            </w:pPr>
            <w:r>
              <w:rPr>
                <w:color w:val="000000"/>
                <w:sz w:val="16"/>
                <w:szCs w:val="16"/>
              </w:rPr>
              <w:t>Lieu et date</w:t>
            </w:r>
          </w:p>
        </w:tc>
        <w:tc>
          <w:tcPr>
            <w:tcW w:w="3544" w:type="dxa"/>
          </w:tcPr>
          <w:p w14:paraId="20C25DA9" w14:textId="57311B2A" w:rsidR="000270FC" w:rsidRPr="00D03496" w:rsidRDefault="000270FC" w:rsidP="0020151D">
            <w:pPr>
              <w:rPr>
                <w:rFonts w:cs="Arial"/>
                <w:color w:val="000000"/>
                <w:sz w:val="16"/>
                <w:szCs w:val="16"/>
              </w:rPr>
            </w:pPr>
            <w:r>
              <w:rPr>
                <w:color w:val="000000"/>
                <w:sz w:val="16"/>
                <w:szCs w:val="16"/>
              </w:rPr>
              <w:t xml:space="preserve">Signature </w:t>
            </w:r>
            <w:r w:rsidR="0020151D">
              <w:rPr>
                <w:color w:val="000000"/>
                <w:sz w:val="16"/>
                <w:szCs w:val="16"/>
              </w:rPr>
              <w:t>pasteure régionale/pasteur régional</w:t>
            </w:r>
          </w:p>
        </w:tc>
      </w:tr>
      <w:tr w:rsidR="000270FC" w:rsidRPr="00D03496" w14:paraId="26DB1472" w14:textId="77777777" w:rsidTr="00526247">
        <w:trPr>
          <w:gridAfter w:val="1"/>
          <w:wAfter w:w="25" w:type="dxa"/>
          <w:trHeight w:val="722"/>
        </w:trPr>
        <w:tc>
          <w:tcPr>
            <w:tcW w:w="9640" w:type="dxa"/>
            <w:gridSpan w:val="4"/>
          </w:tcPr>
          <w:p w14:paraId="3A2E8CC4" w14:textId="1499B9B5" w:rsidR="000270FC" w:rsidRPr="00D03496" w:rsidRDefault="001F77EA" w:rsidP="0081666C">
            <w:pPr>
              <w:rPr>
                <w:rFonts w:cs="Arial"/>
                <w:color w:val="000000"/>
                <w:sz w:val="16"/>
                <w:szCs w:val="16"/>
              </w:rPr>
            </w:pPr>
            <w:r>
              <w:rPr>
                <w:b/>
                <w:color w:val="000000"/>
                <w:sz w:val="16"/>
                <w:szCs w:val="16"/>
              </w:rPr>
              <w:t>4</w:t>
            </w:r>
            <w:r w:rsidR="000270FC">
              <w:rPr>
                <w:b/>
                <w:color w:val="000000"/>
                <w:sz w:val="16"/>
                <w:szCs w:val="16"/>
              </w:rPr>
              <w:t xml:space="preserve">. </w:t>
            </w:r>
            <w:r w:rsidR="000270FC" w:rsidRPr="001F77EA">
              <w:rPr>
                <w:b/>
                <w:bCs/>
                <w:color w:val="000000"/>
                <w:sz w:val="16"/>
                <w:szCs w:val="16"/>
              </w:rPr>
              <w:t>Visa service du personnel</w:t>
            </w:r>
            <w:r w:rsidR="000270FC">
              <w:rPr>
                <w:color w:val="000000"/>
                <w:sz w:val="16"/>
                <w:szCs w:val="16"/>
                <w:vertAlign w:val="superscript"/>
              </w:rPr>
              <w:t>1</w:t>
            </w:r>
            <w:r w:rsidR="000270FC">
              <w:rPr>
                <w:color w:val="000000"/>
                <w:sz w:val="16"/>
                <w:szCs w:val="16"/>
              </w:rPr>
              <w:t xml:space="preserve"> (lieu, date, signature)</w:t>
            </w:r>
          </w:p>
        </w:tc>
      </w:tr>
    </w:tbl>
    <w:p w14:paraId="0293BB32" w14:textId="77777777" w:rsidR="000270FC" w:rsidRPr="00D03496" w:rsidRDefault="000270FC" w:rsidP="000270FC">
      <w:pPr>
        <w:spacing w:before="240" w:line="240" w:lineRule="auto"/>
        <w:rPr>
          <w:rFonts w:cs="Arial"/>
          <w:sz w:val="16"/>
          <w:szCs w:val="16"/>
        </w:rPr>
      </w:pPr>
      <w:r>
        <w:rPr>
          <w:color w:val="000000"/>
          <w:sz w:val="16"/>
          <w:szCs w:val="16"/>
          <w:vertAlign w:val="superscript"/>
        </w:rPr>
        <w:t>1</w:t>
      </w:r>
      <w:r>
        <w:rPr>
          <w:color w:val="000000"/>
          <w:sz w:val="16"/>
          <w:szCs w:val="16"/>
        </w:rPr>
        <w:t xml:space="preserve"> En cas de versement au pastorat régional ou spécialisé, visa service du personnel requis, art. 70 </w:t>
      </w:r>
      <w:proofErr w:type="spellStart"/>
      <w:r>
        <w:rPr>
          <w:color w:val="000000"/>
          <w:sz w:val="16"/>
          <w:szCs w:val="16"/>
        </w:rPr>
        <w:t>RPCp</w:t>
      </w:r>
      <w:proofErr w:type="spellEnd"/>
    </w:p>
    <w:p w14:paraId="78812EB9" w14:textId="77777777" w:rsidR="000270FC" w:rsidRDefault="000270FC" w:rsidP="000270FC">
      <w:pPr>
        <w:pStyle w:val="Tabelle"/>
        <w:spacing w:before="120" w:after="30"/>
        <w:rPr>
          <w:b/>
        </w:rPr>
      </w:pPr>
    </w:p>
    <w:p w14:paraId="0EEA6CF1" w14:textId="77777777" w:rsidR="000270FC" w:rsidRDefault="000270FC" w:rsidP="000270FC">
      <w:pPr>
        <w:pStyle w:val="Tabelle"/>
        <w:spacing w:line="240" w:lineRule="auto"/>
        <w:rPr>
          <w:b/>
        </w:rPr>
      </w:pPr>
      <w:r>
        <w:rPr>
          <w:b/>
        </w:rPr>
        <w:t xml:space="preserve">Le présent décompte doit être envoyé aux Eglises réformées Berne-Jura-Soleure, service du personnel, </w:t>
      </w:r>
      <w:proofErr w:type="spellStart"/>
      <w:r>
        <w:rPr>
          <w:b/>
        </w:rPr>
        <w:t>Altenbergstrasse</w:t>
      </w:r>
      <w:proofErr w:type="spellEnd"/>
      <w:r>
        <w:rPr>
          <w:b/>
        </w:rPr>
        <w:t xml:space="preserve"> 66, 3000 Berne 22.</w:t>
      </w:r>
    </w:p>
    <w:p w14:paraId="18DF3D18" w14:textId="722F8653" w:rsidR="000270FC" w:rsidRDefault="000270FC" w:rsidP="00A21BE6">
      <w:pPr>
        <w:spacing w:line="280" w:lineRule="exact"/>
        <w:rPr>
          <w:rFonts w:cs="Arial"/>
          <w:b/>
        </w:rPr>
      </w:pPr>
      <w:r>
        <w:br w:type="column"/>
      </w:r>
      <w:r>
        <w:rPr>
          <w:b/>
        </w:rPr>
        <w:lastRenderedPageBreak/>
        <w:t>Extrait de l’ordonnance sur les suppléances pastorales (ordonnance sur les suppléances) du 7 mars 2019 (RLE 41.015)</w:t>
      </w:r>
      <w:r w:rsidR="00A21BE6">
        <w:rPr>
          <w:rFonts w:cs="Arial"/>
          <w:b/>
        </w:rPr>
        <w:t xml:space="preserve">; </w:t>
      </w:r>
      <w:r w:rsidR="00A21BE6">
        <w:rPr>
          <w:b/>
        </w:rPr>
        <w:t>i</w:t>
      </w:r>
      <w:r>
        <w:rPr>
          <w:b/>
        </w:rPr>
        <w:t>ndemnités de fonction par fonction pastorale (</w:t>
      </w:r>
      <w:r>
        <w:rPr>
          <w:b/>
          <w:i/>
        </w:rPr>
        <w:t>annexe à l’article 2</w:t>
      </w:r>
      <w:r>
        <w:rPr>
          <w:b/>
        </w:rPr>
        <w:t>)</w:t>
      </w:r>
    </w:p>
    <w:tbl>
      <w:tblPr>
        <w:tblW w:w="48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000" w:firstRow="0" w:lastRow="0" w:firstColumn="0" w:lastColumn="0" w:noHBand="0" w:noVBand="0"/>
      </w:tblPr>
      <w:tblGrid>
        <w:gridCol w:w="783"/>
        <w:gridCol w:w="5570"/>
        <w:gridCol w:w="2394"/>
      </w:tblGrid>
      <w:tr w:rsidR="000270FC" w:rsidRPr="00D03496" w14:paraId="6625F396" w14:textId="77777777" w:rsidTr="00526247">
        <w:tc>
          <w:tcPr>
            <w:tcW w:w="7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7378049" w14:textId="77777777" w:rsidR="000270FC" w:rsidRPr="00D03496" w:rsidRDefault="000270FC" w:rsidP="00526247">
            <w:pPr>
              <w:spacing w:before="75" w:after="75"/>
              <w:rPr>
                <w:rFonts w:cs="Arial"/>
                <w:b/>
                <w:sz w:val="16"/>
                <w:szCs w:val="16"/>
              </w:rPr>
            </w:pPr>
          </w:p>
        </w:tc>
        <w:tc>
          <w:tcPr>
            <w:tcW w:w="55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7413DB2" w14:textId="77777777" w:rsidR="000270FC" w:rsidRPr="00D03496" w:rsidRDefault="000270FC" w:rsidP="00526247">
            <w:pPr>
              <w:spacing w:before="75" w:after="75"/>
              <w:rPr>
                <w:rFonts w:cs="Arial"/>
                <w:b/>
                <w:sz w:val="16"/>
                <w:szCs w:val="16"/>
              </w:rPr>
            </w:pPr>
            <w:r>
              <w:rPr>
                <w:b/>
                <w:sz w:val="16"/>
                <w:szCs w:val="16"/>
              </w:rPr>
              <w:t>Type de suppléance</w:t>
            </w:r>
          </w:p>
        </w:tc>
        <w:tc>
          <w:tcPr>
            <w:tcW w:w="23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CE8B2F3" w14:textId="77777777" w:rsidR="000270FC" w:rsidRPr="00D03496" w:rsidRDefault="000270FC" w:rsidP="00526247">
            <w:pPr>
              <w:spacing w:before="75" w:after="75"/>
              <w:rPr>
                <w:rFonts w:cs="Arial"/>
                <w:b/>
                <w:sz w:val="16"/>
                <w:szCs w:val="16"/>
              </w:rPr>
            </w:pPr>
            <w:r>
              <w:rPr>
                <w:b/>
                <w:sz w:val="16"/>
                <w:szCs w:val="16"/>
              </w:rPr>
              <w:t>CHF</w:t>
            </w:r>
          </w:p>
        </w:tc>
      </w:tr>
      <w:tr w:rsidR="000270FC" w:rsidRPr="00D03496" w14:paraId="4EB73120" w14:textId="77777777" w:rsidTr="00526247">
        <w:tc>
          <w:tcPr>
            <w:tcW w:w="7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8FE9D21" w14:textId="77777777" w:rsidR="000270FC" w:rsidRPr="00D03496" w:rsidRDefault="000270FC" w:rsidP="00526247">
            <w:pPr>
              <w:spacing w:before="75" w:after="75"/>
              <w:rPr>
                <w:rFonts w:cs="Arial"/>
                <w:sz w:val="16"/>
                <w:szCs w:val="16"/>
              </w:rPr>
            </w:pPr>
            <w:r>
              <w:rPr>
                <w:sz w:val="16"/>
                <w:szCs w:val="16"/>
              </w:rPr>
              <w:t>1</w:t>
            </w:r>
          </w:p>
        </w:tc>
        <w:tc>
          <w:tcPr>
            <w:tcW w:w="55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ADEDA73" w14:textId="77777777" w:rsidR="000270FC" w:rsidRPr="00D03496" w:rsidRDefault="000270FC" w:rsidP="00526247">
            <w:pPr>
              <w:spacing w:before="75" w:after="75"/>
              <w:rPr>
                <w:rFonts w:cs="Arial"/>
                <w:sz w:val="16"/>
                <w:szCs w:val="16"/>
              </w:rPr>
            </w:pPr>
            <w:r>
              <w:rPr>
                <w:sz w:val="16"/>
                <w:szCs w:val="16"/>
              </w:rPr>
              <w:t>Tous types de cultes (y compris Sainte cène), sans service funèbre</w:t>
            </w:r>
          </w:p>
        </w:tc>
        <w:tc>
          <w:tcPr>
            <w:tcW w:w="23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26F30FE" w14:textId="77777777" w:rsidR="000270FC" w:rsidRPr="00D03496" w:rsidRDefault="000270FC" w:rsidP="00526247">
            <w:pPr>
              <w:spacing w:before="75" w:after="75"/>
              <w:rPr>
                <w:rFonts w:cs="Arial"/>
                <w:sz w:val="16"/>
                <w:szCs w:val="16"/>
              </w:rPr>
            </w:pPr>
            <w:r>
              <w:rPr>
                <w:sz w:val="16"/>
                <w:szCs w:val="16"/>
              </w:rPr>
              <w:t>250</w:t>
            </w:r>
          </w:p>
        </w:tc>
      </w:tr>
      <w:tr w:rsidR="000270FC" w:rsidRPr="00D03496" w14:paraId="09BA5C89" w14:textId="77777777" w:rsidTr="00526247">
        <w:tc>
          <w:tcPr>
            <w:tcW w:w="7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64E482F2" w14:textId="77777777" w:rsidR="000270FC" w:rsidRPr="00D03496" w:rsidRDefault="000270FC" w:rsidP="00526247">
            <w:pPr>
              <w:spacing w:before="75" w:after="75"/>
              <w:rPr>
                <w:rFonts w:cs="Arial"/>
                <w:sz w:val="16"/>
                <w:szCs w:val="16"/>
              </w:rPr>
            </w:pPr>
            <w:r>
              <w:rPr>
                <w:sz w:val="16"/>
                <w:szCs w:val="16"/>
              </w:rPr>
              <w:t>2</w:t>
            </w:r>
          </w:p>
        </w:tc>
        <w:tc>
          <w:tcPr>
            <w:tcW w:w="55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2D807474" w14:textId="77777777" w:rsidR="000270FC" w:rsidRPr="00D03496" w:rsidRDefault="000270FC" w:rsidP="00526247">
            <w:pPr>
              <w:spacing w:before="75" w:after="75"/>
              <w:rPr>
                <w:rFonts w:cs="Arial"/>
                <w:sz w:val="16"/>
                <w:szCs w:val="16"/>
              </w:rPr>
            </w:pPr>
            <w:r>
              <w:rPr>
                <w:sz w:val="16"/>
                <w:szCs w:val="16"/>
              </w:rPr>
              <w:t>Service funèbre (y compris entretien et inhumation avant ou après le service funèbre)</w:t>
            </w:r>
          </w:p>
        </w:tc>
        <w:tc>
          <w:tcPr>
            <w:tcW w:w="23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4004741" w14:textId="77777777" w:rsidR="000270FC" w:rsidRPr="00D03496" w:rsidRDefault="000270FC" w:rsidP="00526247">
            <w:pPr>
              <w:spacing w:before="75" w:after="75"/>
              <w:rPr>
                <w:rFonts w:cs="Arial"/>
                <w:sz w:val="16"/>
                <w:szCs w:val="16"/>
              </w:rPr>
            </w:pPr>
            <w:r>
              <w:rPr>
                <w:sz w:val="16"/>
                <w:szCs w:val="16"/>
              </w:rPr>
              <w:t>500</w:t>
            </w:r>
          </w:p>
        </w:tc>
      </w:tr>
      <w:tr w:rsidR="000270FC" w:rsidRPr="00D03496" w14:paraId="6BF8E53F" w14:textId="77777777" w:rsidTr="00526247">
        <w:tc>
          <w:tcPr>
            <w:tcW w:w="7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D7CB807" w14:textId="77777777" w:rsidR="000270FC" w:rsidRPr="00D03496" w:rsidRDefault="000270FC" w:rsidP="00526247">
            <w:pPr>
              <w:spacing w:before="75" w:after="75"/>
              <w:rPr>
                <w:rFonts w:cs="Arial"/>
                <w:sz w:val="16"/>
                <w:szCs w:val="16"/>
              </w:rPr>
            </w:pPr>
            <w:r>
              <w:rPr>
                <w:sz w:val="16"/>
                <w:szCs w:val="16"/>
              </w:rPr>
              <w:t>3</w:t>
            </w:r>
          </w:p>
        </w:tc>
        <w:tc>
          <w:tcPr>
            <w:tcW w:w="55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4ACD097" w14:textId="77777777" w:rsidR="000270FC" w:rsidRPr="00D03496" w:rsidRDefault="000270FC" w:rsidP="00526247">
            <w:pPr>
              <w:spacing w:before="75" w:after="75"/>
              <w:rPr>
                <w:rFonts w:cs="Arial"/>
                <w:sz w:val="16"/>
                <w:szCs w:val="16"/>
              </w:rPr>
            </w:pPr>
            <w:r>
              <w:rPr>
                <w:sz w:val="16"/>
                <w:szCs w:val="16"/>
              </w:rPr>
              <w:t>Culte jeunesse ou de catéchisme, uniquement collaboration</w:t>
            </w:r>
          </w:p>
        </w:tc>
        <w:tc>
          <w:tcPr>
            <w:tcW w:w="23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4CB07D9" w14:textId="77777777" w:rsidR="000270FC" w:rsidRPr="00D03496" w:rsidRDefault="000270FC" w:rsidP="00526247">
            <w:pPr>
              <w:spacing w:before="75" w:after="75"/>
              <w:rPr>
                <w:rFonts w:cs="Arial"/>
                <w:sz w:val="16"/>
                <w:szCs w:val="16"/>
              </w:rPr>
            </w:pPr>
            <w:r>
              <w:rPr>
                <w:sz w:val="16"/>
                <w:szCs w:val="16"/>
              </w:rPr>
              <w:t>180</w:t>
            </w:r>
          </w:p>
        </w:tc>
      </w:tr>
      <w:tr w:rsidR="000270FC" w:rsidRPr="00D03496" w14:paraId="7F440F3C" w14:textId="77777777" w:rsidTr="00526247">
        <w:tc>
          <w:tcPr>
            <w:tcW w:w="7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67FA4C9" w14:textId="77777777" w:rsidR="000270FC" w:rsidRPr="00D03496" w:rsidRDefault="000270FC" w:rsidP="00526247">
            <w:pPr>
              <w:spacing w:before="75" w:after="75"/>
              <w:rPr>
                <w:rFonts w:cs="Arial"/>
                <w:sz w:val="16"/>
                <w:szCs w:val="16"/>
              </w:rPr>
            </w:pPr>
            <w:r>
              <w:rPr>
                <w:sz w:val="16"/>
                <w:szCs w:val="16"/>
              </w:rPr>
              <w:t>4</w:t>
            </w:r>
          </w:p>
        </w:tc>
        <w:tc>
          <w:tcPr>
            <w:tcW w:w="55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29E19973" w14:textId="77777777" w:rsidR="000270FC" w:rsidRPr="00D03496" w:rsidRDefault="000270FC" w:rsidP="00526247">
            <w:pPr>
              <w:spacing w:before="75" w:after="75"/>
              <w:rPr>
                <w:rFonts w:cs="Arial"/>
                <w:sz w:val="16"/>
                <w:szCs w:val="16"/>
              </w:rPr>
            </w:pPr>
            <w:r>
              <w:rPr>
                <w:sz w:val="16"/>
                <w:szCs w:val="16"/>
              </w:rPr>
              <w:t>Deuxième culte durant le même week-end dans la même paroisse avec la même prédication, par culte répété</w:t>
            </w:r>
          </w:p>
        </w:tc>
        <w:tc>
          <w:tcPr>
            <w:tcW w:w="23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EC88FDE" w14:textId="77777777" w:rsidR="000270FC" w:rsidRPr="00D03496" w:rsidRDefault="000270FC" w:rsidP="00526247">
            <w:pPr>
              <w:spacing w:before="75" w:after="75"/>
              <w:rPr>
                <w:rFonts w:cs="Arial"/>
                <w:sz w:val="16"/>
                <w:szCs w:val="16"/>
              </w:rPr>
            </w:pPr>
            <w:r>
              <w:rPr>
                <w:sz w:val="16"/>
                <w:szCs w:val="16"/>
              </w:rPr>
              <w:t>80</w:t>
            </w:r>
          </w:p>
        </w:tc>
      </w:tr>
      <w:tr w:rsidR="000270FC" w:rsidRPr="00D03496" w14:paraId="4939838D" w14:textId="77777777" w:rsidTr="00526247">
        <w:trPr>
          <w:trHeight w:val="540"/>
        </w:trPr>
        <w:tc>
          <w:tcPr>
            <w:tcW w:w="7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1097DF6" w14:textId="77777777" w:rsidR="000270FC" w:rsidRPr="00D03496" w:rsidRDefault="000270FC" w:rsidP="00526247">
            <w:pPr>
              <w:spacing w:before="75" w:after="75"/>
              <w:rPr>
                <w:rFonts w:cs="Arial"/>
                <w:sz w:val="16"/>
                <w:szCs w:val="16"/>
              </w:rPr>
            </w:pPr>
            <w:r>
              <w:rPr>
                <w:sz w:val="16"/>
                <w:szCs w:val="16"/>
              </w:rPr>
              <w:t>5</w:t>
            </w:r>
          </w:p>
        </w:tc>
        <w:tc>
          <w:tcPr>
            <w:tcW w:w="55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432284D" w14:textId="77777777" w:rsidR="000270FC" w:rsidRPr="00D03496" w:rsidRDefault="000270FC" w:rsidP="00526247">
            <w:pPr>
              <w:spacing w:before="75" w:after="75"/>
              <w:rPr>
                <w:rFonts w:cs="Arial"/>
                <w:sz w:val="16"/>
                <w:szCs w:val="16"/>
              </w:rPr>
            </w:pPr>
            <w:r>
              <w:rPr>
                <w:sz w:val="16"/>
                <w:szCs w:val="16"/>
              </w:rPr>
              <w:t>Inhumation ou dépôt de l’urne (y compris entretien de préparation) sans service funèbre à l’église</w:t>
            </w:r>
          </w:p>
        </w:tc>
        <w:tc>
          <w:tcPr>
            <w:tcW w:w="23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6340D508" w14:textId="77777777" w:rsidR="000270FC" w:rsidRPr="00D03496" w:rsidRDefault="000270FC" w:rsidP="00526247">
            <w:pPr>
              <w:spacing w:before="75" w:after="75"/>
              <w:rPr>
                <w:rFonts w:cs="Arial"/>
                <w:sz w:val="16"/>
                <w:szCs w:val="16"/>
              </w:rPr>
            </w:pPr>
            <w:r>
              <w:rPr>
                <w:sz w:val="16"/>
                <w:szCs w:val="16"/>
              </w:rPr>
              <w:t>250</w:t>
            </w:r>
          </w:p>
        </w:tc>
      </w:tr>
      <w:tr w:rsidR="000270FC" w:rsidRPr="00D03496" w14:paraId="0B939103" w14:textId="77777777" w:rsidTr="00526247">
        <w:tc>
          <w:tcPr>
            <w:tcW w:w="7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E78846D" w14:textId="77777777" w:rsidR="000270FC" w:rsidRPr="00D03496" w:rsidRDefault="000270FC" w:rsidP="00526247">
            <w:pPr>
              <w:spacing w:before="75" w:after="75"/>
              <w:rPr>
                <w:rFonts w:cs="Arial"/>
                <w:sz w:val="16"/>
                <w:szCs w:val="16"/>
              </w:rPr>
            </w:pPr>
            <w:r>
              <w:rPr>
                <w:sz w:val="16"/>
                <w:szCs w:val="16"/>
              </w:rPr>
              <w:t>6</w:t>
            </w:r>
          </w:p>
        </w:tc>
        <w:tc>
          <w:tcPr>
            <w:tcW w:w="55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07D1906" w14:textId="77777777" w:rsidR="000270FC" w:rsidRPr="00D03496" w:rsidRDefault="000270FC" w:rsidP="00526247">
            <w:pPr>
              <w:spacing w:before="75" w:after="75"/>
              <w:rPr>
                <w:rFonts w:cs="Arial"/>
                <w:sz w:val="16"/>
                <w:szCs w:val="16"/>
              </w:rPr>
            </w:pPr>
            <w:r>
              <w:rPr>
                <w:sz w:val="16"/>
                <w:szCs w:val="16"/>
              </w:rPr>
              <w:t>Inhumation ou dépôt de l’urne, si non accompli immédiatement avant ou après le service funèbre</w:t>
            </w:r>
          </w:p>
        </w:tc>
        <w:tc>
          <w:tcPr>
            <w:tcW w:w="23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A35C356" w14:textId="77777777" w:rsidR="000270FC" w:rsidRPr="00D03496" w:rsidRDefault="000270FC" w:rsidP="00526247">
            <w:pPr>
              <w:spacing w:before="75" w:after="75"/>
              <w:rPr>
                <w:rFonts w:cs="Arial"/>
                <w:sz w:val="16"/>
                <w:szCs w:val="16"/>
              </w:rPr>
            </w:pPr>
            <w:r>
              <w:rPr>
                <w:sz w:val="16"/>
                <w:szCs w:val="16"/>
              </w:rPr>
              <w:t>60</w:t>
            </w:r>
          </w:p>
        </w:tc>
      </w:tr>
      <w:tr w:rsidR="000270FC" w:rsidRPr="00D03496" w14:paraId="69C228B6" w14:textId="77777777" w:rsidTr="00526247">
        <w:tc>
          <w:tcPr>
            <w:tcW w:w="7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72EE09B" w14:textId="77777777" w:rsidR="000270FC" w:rsidRPr="00D03496" w:rsidRDefault="000270FC" w:rsidP="00526247">
            <w:pPr>
              <w:spacing w:before="75" w:after="75"/>
              <w:rPr>
                <w:rFonts w:cs="Arial"/>
                <w:sz w:val="16"/>
                <w:szCs w:val="16"/>
              </w:rPr>
            </w:pPr>
            <w:r>
              <w:rPr>
                <w:sz w:val="16"/>
                <w:szCs w:val="16"/>
              </w:rPr>
              <w:t>7</w:t>
            </w:r>
          </w:p>
        </w:tc>
        <w:tc>
          <w:tcPr>
            <w:tcW w:w="55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C6B5CD9" w14:textId="77777777" w:rsidR="000270FC" w:rsidRPr="00D03496" w:rsidRDefault="000270FC" w:rsidP="00526247">
            <w:pPr>
              <w:spacing w:before="75" w:after="75"/>
              <w:rPr>
                <w:rFonts w:cs="Arial"/>
                <w:sz w:val="16"/>
                <w:szCs w:val="16"/>
              </w:rPr>
            </w:pPr>
            <w:r>
              <w:rPr>
                <w:sz w:val="16"/>
                <w:szCs w:val="16"/>
              </w:rPr>
              <w:t>Entretien de préparation au mariage et au baptême</w:t>
            </w:r>
          </w:p>
        </w:tc>
        <w:tc>
          <w:tcPr>
            <w:tcW w:w="23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DD5AFB2" w14:textId="77777777" w:rsidR="000270FC" w:rsidRPr="00D03496" w:rsidRDefault="000270FC" w:rsidP="00526247">
            <w:pPr>
              <w:spacing w:before="75" w:after="75"/>
              <w:rPr>
                <w:rFonts w:cs="Arial"/>
                <w:sz w:val="16"/>
                <w:szCs w:val="16"/>
              </w:rPr>
            </w:pPr>
            <w:r>
              <w:rPr>
                <w:sz w:val="16"/>
                <w:szCs w:val="16"/>
              </w:rPr>
              <w:t>50</w:t>
            </w:r>
          </w:p>
        </w:tc>
      </w:tr>
      <w:tr w:rsidR="000270FC" w:rsidRPr="00D03496" w14:paraId="5A38CFEB" w14:textId="77777777" w:rsidTr="00526247">
        <w:tc>
          <w:tcPr>
            <w:tcW w:w="7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8A0C148" w14:textId="77777777" w:rsidR="000270FC" w:rsidRPr="00D03496" w:rsidRDefault="000270FC" w:rsidP="00526247">
            <w:pPr>
              <w:spacing w:before="75" w:after="75"/>
              <w:rPr>
                <w:rFonts w:cs="Arial"/>
                <w:sz w:val="16"/>
                <w:szCs w:val="16"/>
              </w:rPr>
            </w:pPr>
            <w:r>
              <w:rPr>
                <w:sz w:val="16"/>
                <w:szCs w:val="16"/>
              </w:rPr>
              <w:t>8</w:t>
            </w:r>
          </w:p>
        </w:tc>
        <w:tc>
          <w:tcPr>
            <w:tcW w:w="55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2A23C7F7" w14:textId="77777777" w:rsidR="000270FC" w:rsidRPr="00D03496" w:rsidRDefault="000270FC" w:rsidP="00526247">
            <w:pPr>
              <w:spacing w:before="75" w:after="75"/>
              <w:rPr>
                <w:rFonts w:cs="Arial"/>
                <w:sz w:val="16"/>
                <w:szCs w:val="16"/>
              </w:rPr>
            </w:pPr>
            <w:r>
              <w:rPr>
                <w:sz w:val="16"/>
                <w:szCs w:val="16"/>
              </w:rPr>
              <w:t>Recueillement (également méditation au home ou à l’hôpital)</w:t>
            </w:r>
          </w:p>
        </w:tc>
        <w:tc>
          <w:tcPr>
            <w:tcW w:w="23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9BB1C48" w14:textId="77777777" w:rsidR="000270FC" w:rsidRPr="00D03496" w:rsidRDefault="000270FC" w:rsidP="00526247">
            <w:pPr>
              <w:spacing w:before="75" w:after="75"/>
              <w:rPr>
                <w:rFonts w:cs="Arial"/>
                <w:sz w:val="16"/>
                <w:szCs w:val="16"/>
              </w:rPr>
            </w:pPr>
            <w:r>
              <w:rPr>
                <w:sz w:val="16"/>
                <w:szCs w:val="16"/>
              </w:rPr>
              <w:t>110</w:t>
            </w:r>
          </w:p>
        </w:tc>
      </w:tr>
      <w:tr w:rsidR="000270FC" w:rsidRPr="00D03496" w14:paraId="0524DF84" w14:textId="77777777" w:rsidTr="00526247">
        <w:tc>
          <w:tcPr>
            <w:tcW w:w="7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08D5B70" w14:textId="77777777" w:rsidR="000270FC" w:rsidRPr="00D03496" w:rsidRDefault="000270FC" w:rsidP="00526247">
            <w:pPr>
              <w:spacing w:before="75" w:after="75"/>
              <w:rPr>
                <w:rFonts w:cs="Arial"/>
                <w:sz w:val="16"/>
                <w:szCs w:val="16"/>
              </w:rPr>
            </w:pPr>
            <w:r>
              <w:rPr>
                <w:sz w:val="16"/>
                <w:szCs w:val="16"/>
              </w:rPr>
              <w:t>9</w:t>
            </w:r>
          </w:p>
        </w:tc>
        <w:tc>
          <w:tcPr>
            <w:tcW w:w="55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9F9B532" w14:textId="77777777" w:rsidR="000270FC" w:rsidRPr="00D03496" w:rsidRDefault="000270FC" w:rsidP="00526247">
            <w:pPr>
              <w:spacing w:before="75" w:after="75"/>
              <w:rPr>
                <w:rFonts w:cs="Arial"/>
                <w:sz w:val="16"/>
                <w:szCs w:val="16"/>
              </w:rPr>
            </w:pPr>
            <w:r>
              <w:rPr>
                <w:sz w:val="16"/>
                <w:szCs w:val="16"/>
              </w:rPr>
              <w:t>Entretien dans le cadre d’un accompagnement spirituel (visite à domicile ou à l’hôpital), par heure</w:t>
            </w:r>
          </w:p>
        </w:tc>
        <w:tc>
          <w:tcPr>
            <w:tcW w:w="23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BA93360" w14:textId="77777777" w:rsidR="000270FC" w:rsidRPr="00D03496" w:rsidRDefault="000270FC" w:rsidP="00526247">
            <w:pPr>
              <w:spacing w:before="75" w:after="75"/>
              <w:rPr>
                <w:rFonts w:cs="Arial"/>
                <w:sz w:val="16"/>
                <w:szCs w:val="16"/>
              </w:rPr>
            </w:pPr>
            <w:r>
              <w:rPr>
                <w:sz w:val="16"/>
                <w:szCs w:val="16"/>
              </w:rPr>
              <w:t>40</w:t>
            </w:r>
          </w:p>
        </w:tc>
      </w:tr>
      <w:tr w:rsidR="000270FC" w:rsidRPr="00D03496" w14:paraId="338ED613" w14:textId="77777777" w:rsidTr="00526247">
        <w:tc>
          <w:tcPr>
            <w:tcW w:w="7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29F852B" w14:textId="77777777" w:rsidR="000270FC" w:rsidRPr="00D03496" w:rsidRDefault="000270FC" w:rsidP="00526247">
            <w:pPr>
              <w:spacing w:before="75" w:after="75"/>
              <w:rPr>
                <w:rFonts w:cs="Arial"/>
                <w:sz w:val="16"/>
                <w:szCs w:val="16"/>
              </w:rPr>
            </w:pPr>
            <w:r>
              <w:rPr>
                <w:sz w:val="16"/>
                <w:szCs w:val="16"/>
              </w:rPr>
              <w:t>10</w:t>
            </w:r>
          </w:p>
        </w:tc>
        <w:tc>
          <w:tcPr>
            <w:tcW w:w="55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6CC4C7FE" w14:textId="77777777" w:rsidR="000270FC" w:rsidRPr="00D03496" w:rsidRDefault="000270FC" w:rsidP="00526247">
            <w:pPr>
              <w:spacing w:before="75" w:after="75"/>
              <w:rPr>
                <w:rFonts w:cs="Arial"/>
                <w:sz w:val="16"/>
                <w:szCs w:val="16"/>
              </w:rPr>
            </w:pPr>
            <w:r>
              <w:rPr>
                <w:sz w:val="16"/>
                <w:szCs w:val="16"/>
              </w:rPr>
              <w:t>Catéchisme (y compris préparation), par leçon</w:t>
            </w:r>
          </w:p>
        </w:tc>
        <w:tc>
          <w:tcPr>
            <w:tcW w:w="23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4394166" w14:textId="77777777" w:rsidR="000270FC" w:rsidRPr="00D03496" w:rsidRDefault="000270FC" w:rsidP="00526247">
            <w:pPr>
              <w:spacing w:before="75" w:after="75"/>
              <w:rPr>
                <w:rFonts w:cs="Arial"/>
                <w:sz w:val="16"/>
                <w:szCs w:val="16"/>
              </w:rPr>
            </w:pPr>
            <w:r>
              <w:rPr>
                <w:sz w:val="16"/>
                <w:szCs w:val="16"/>
              </w:rPr>
              <w:t>75</w:t>
            </w:r>
          </w:p>
        </w:tc>
      </w:tr>
      <w:tr w:rsidR="000270FC" w:rsidRPr="00D03496" w14:paraId="382D20E1" w14:textId="77777777" w:rsidTr="00526247">
        <w:tc>
          <w:tcPr>
            <w:tcW w:w="7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9B75F96" w14:textId="77777777" w:rsidR="000270FC" w:rsidRPr="00D03496" w:rsidRDefault="000270FC" w:rsidP="00526247">
            <w:pPr>
              <w:spacing w:before="75" w:after="75"/>
              <w:rPr>
                <w:rFonts w:cs="Arial"/>
                <w:sz w:val="16"/>
                <w:szCs w:val="16"/>
              </w:rPr>
            </w:pPr>
            <w:r>
              <w:rPr>
                <w:sz w:val="16"/>
                <w:szCs w:val="16"/>
              </w:rPr>
              <w:t>11</w:t>
            </w:r>
          </w:p>
        </w:tc>
        <w:tc>
          <w:tcPr>
            <w:tcW w:w="55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ADAB84F" w14:textId="77777777" w:rsidR="000270FC" w:rsidRPr="00D03496" w:rsidRDefault="000270FC" w:rsidP="00526247">
            <w:pPr>
              <w:spacing w:before="75" w:after="75"/>
              <w:rPr>
                <w:rFonts w:cs="Arial"/>
                <w:sz w:val="16"/>
                <w:szCs w:val="16"/>
              </w:rPr>
            </w:pPr>
            <w:r>
              <w:rPr>
                <w:sz w:val="16"/>
                <w:szCs w:val="16"/>
              </w:rPr>
              <w:t>Réunion de parents (y compris préparation)</w:t>
            </w:r>
          </w:p>
        </w:tc>
        <w:tc>
          <w:tcPr>
            <w:tcW w:w="23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3DD9F18" w14:textId="77777777" w:rsidR="000270FC" w:rsidRPr="00D03496" w:rsidRDefault="000270FC" w:rsidP="00526247">
            <w:pPr>
              <w:spacing w:before="75" w:after="75"/>
              <w:rPr>
                <w:rFonts w:cs="Arial"/>
                <w:sz w:val="16"/>
                <w:szCs w:val="16"/>
              </w:rPr>
            </w:pPr>
            <w:r>
              <w:rPr>
                <w:sz w:val="16"/>
                <w:szCs w:val="16"/>
              </w:rPr>
              <w:t>75</w:t>
            </w:r>
          </w:p>
        </w:tc>
      </w:tr>
      <w:tr w:rsidR="000270FC" w:rsidRPr="00D03496" w14:paraId="69C15F99" w14:textId="77777777" w:rsidTr="00526247">
        <w:tc>
          <w:tcPr>
            <w:tcW w:w="7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6532451" w14:textId="77777777" w:rsidR="000270FC" w:rsidRPr="00D03496" w:rsidRDefault="000270FC" w:rsidP="00526247">
            <w:pPr>
              <w:spacing w:before="75" w:after="75"/>
              <w:rPr>
                <w:rFonts w:cs="Arial"/>
                <w:sz w:val="16"/>
                <w:szCs w:val="16"/>
              </w:rPr>
            </w:pPr>
            <w:r>
              <w:rPr>
                <w:sz w:val="16"/>
                <w:szCs w:val="16"/>
              </w:rPr>
              <w:t>12</w:t>
            </w:r>
          </w:p>
        </w:tc>
        <w:tc>
          <w:tcPr>
            <w:tcW w:w="55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2EA50354" w14:textId="77777777" w:rsidR="000270FC" w:rsidRPr="00D03496" w:rsidRDefault="000270FC" w:rsidP="00526247">
            <w:pPr>
              <w:spacing w:before="75" w:after="75"/>
              <w:rPr>
                <w:rFonts w:cs="Arial"/>
                <w:sz w:val="16"/>
                <w:szCs w:val="16"/>
              </w:rPr>
            </w:pPr>
            <w:r>
              <w:rPr>
                <w:sz w:val="16"/>
                <w:szCs w:val="16"/>
              </w:rPr>
              <w:t>Camp de jeunes ou de confirmation (y compris préparation), par jour (si responsable de la planification et de la réalisation)</w:t>
            </w:r>
          </w:p>
        </w:tc>
        <w:tc>
          <w:tcPr>
            <w:tcW w:w="23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B7D876F" w14:textId="77777777" w:rsidR="000270FC" w:rsidRPr="00D03496" w:rsidRDefault="000270FC" w:rsidP="00526247">
            <w:pPr>
              <w:spacing w:before="75" w:after="75"/>
              <w:rPr>
                <w:rFonts w:cs="Arial"/>
                <w:sz w:val="16"/>
                <w:szCs w:val="16"/>
              </w:rPr>
            </w:pPr>
            <w:r>
              <w:rPr>
                <w:sz w:val="16"/>
                <w:szCs w:val="16"/>
              </w:rPr>
              <w:t>350</w:t>
            </w:r>
          </w:p>
        </w:tc>
      </w:tr>
      <w:tr w:rsidR="000270FC" w:rsidRPr="00D03496" w14:paraId="13395B29" w14:textId="77777777" w:rsidTr="00526247">
        <w:tc>
          <w:tcPr>
            <w:tcW w:w="7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A7D6C37" w14:textId="77777777" w:rsidR="000270FC" w:rsidRPr="00D03496" w:rsidRDefault="000270FC" w:rsidP="00526247">
            <w:pPr>
              <w:spacing w:before="75" w:after="75"/>
              <w:rPr>
                <w:rFonts w:cs="Arial"/>
                <w:sz w:val="16"/>
                <w:szCs w:val="16"/>
              </w:rPr>
            </w:pPr>
            <w:r>
              <w:rPr>
                <w:sz w:val="16"/>
                <w:szCs w:val="16"/>
              </w:rPr>
              <w:t>13</w:t>
            </w:r>
          </w:p>
        </w:tc>
        <w:tc>
          <w:tcPr>
            <w:tcW w:w="55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8AD4894" w14:textId="77777777" w:rsidR="000270FC" w:rsidRPr="00D03496" w:rsidRDefault="000270FC" w:rsidP="00526247">
            <w:pPr>
              <w:spacing w:before="75" w:after="75"/>
              <w:rPr>
                <w:rFonts w:cs="Arial"/>
                <w:sz w:val="16"/>
                <w:szCs w:val="16"/>
              </w:rPr>
            </w:pPr>
            <w:r>
              <w:rPr>
                <w:sz w:val="16"/>
                <w:szCs w:val="16"/>
              </w:rPr>
              <w:t>Service de disponibilité, par jour</w:t>
            </w:r>
          </w:p>
        </w:tc>
        <w:tc>
          <w:tcPr>
            <w:tcW w:w="23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2AC6445D" w14:textId="77777777" w:rsidR="000270FC" w:rsidRPr="00D03496" w:rsidRDefault="000270FC" w:rsidP="00526247">
            <w:pPr>
              <w:spacing w:before="75" w:after="75"/>
              <w:rPr>
                <w:rFonts w:cs="Arial"/>
                <w:sz w:val="16"/>
                <w:szCs w:val="16"/>
              </w:rPr>
            </w:pPr>
            <w:r>
              <w:rPr>
                <w:sz w:val="16"/>
                <w:szCs w:val="16"/>
              </w:rPr>
              <w:t>30</w:t>
            </w:r>
          </w:p>
        </w:tc>
      </w:tr>
      <w:tr w:rsidR="000270FC" w:rsidRPr="00D03496" w14:paraId="0ECC4097" w14:textId="77777777" w:rsidTr="00526247">
        <w:tc>
          <w:tcPr>
            <w:tcW w:w="7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A6AF04A" w14:textId="77777777" w:rsidR="000270FC" w:rsidRPr="00D03496" w:rsidRDefault="000270FC" w:rsidP="00526247">
            <w:pPr>
              <w:spacing w:before="75" w:after="75"/>
              <w:rPr>
                <w:rFonts w:cs="Arial"/>
                <w:sz w:val="16"/>
                <w:szCs w:val="16"/>
              </w:rPr>
            </w:pPr>
            <w:r>
              <w:rPr>
                <w:sz w:val="16"/>
                <w:szCs w:val="16"/>
              </w:rPr>
              <w:t>14</w:t>
            </w:r>
          </w:p>
        </w:tc>
        <w:tc>
          <w:tcPr>
            <w:tcW w:w="55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39109CC" w14:textId="77777777" w:rsidR="000270FC" w:rsidRPr="00D03496" w:rsidRDefault="000270FC" w:rsidP="00526247">
            <w:pPr>
              <w:spacing w:before="75" w:after="75"/>
              <w:rPr>
                <w:rFonts w:cs="Arial"/>
                <w:sz w:val="16"/>
                <w:szCs w:val="16"/>
              </w:rPr>
            </w:pPr>
            <w:r>
              <w:rPr>
                <w:sz w:val="16"/>
                <w:szCs w:val="16"/>
              </w:rPr>
              <w:t xml:space="preserve">Tâches administratives ou semblables, par heure </w:t>
            </w:r>
          </w:p>
        </w:tc>
        <w:tc>
          <w:tcPr>
            <w:tcW w:w="23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E319274" w14:textId="77777777" w:rsidR="000270FC" w:rsidRPr="00D03496" w:rsidRDefault="000270FC" w:rsidP="00526247">
            <w:pPr>
              <w:spacing w:before="75" w:after="75"/>
              <w:rPr>
                <w:rFonts w:cs="Arial"/>
                <w:sz w:val="16"/>
                <w:szCs w:val="16"/>
              </w:rPr>
            </w:pPr>
            <w:r>
              <w:rPr>
                <w:sz w:val="16"/>
                <w:szCs w:val="16"/>
              </w:rPr>
              <w:t>22</w:t>
            </w:r>
          </w:p>
        </w:tc>
      </w:tr>
      <w:tr w:rsidR="000270FC" w:rsidRPr="00D03496" w14:paraId="4CE4DB0C" w14:textId="77777777" w:rsidTr="00526247">
        <w:tc>
          <w:tcPr>
            <w:tcW w:w="7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CD6892B" w14:textId="77777777" w:rsidR="000270FC" w:rsidRPr="00D03496" w:rsidRDefault="000270FC" w:rsidP="00526247">
            <w:pPr>
              <w:spacing w:before="75" w:after="75"/>
              <w:rPr>
                <w:rFonts w:cs="Arial"/>
                <w:sz w:val="16"/>
                <w:szCs w:val="16"/>
              </w:rPr>
            </w:pPr>
            <w:r>
              <w:rPr>
                <w:sz w:val="16"/>
                <w:szCs w:val="16"/>
              </w:rPr>
              <w:t>15</w:t>
            </w:r>
          </w:p>
        </w:tc>
        <w:tc>
          <w:tcPr>
            <w:tcW w:w="55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D5905D2" w14:textId="77777777" w:rsidR="000270FC" w:rsidRPr="00D03496" w:rsidRDefault="000270FC" w:rsidP="00526247">
            <w:pPr>
              <w:spacing w:before="75"/>
              <w:rPr>
                <w:rFonts w:cs="Arial"/>
                <w:sz w:val="16"/>
                <w:szCs w:val="16"/>
              </w:rPr>
            </w:pPr>
            <w:r>
              <w:rPr>
                <w:sz w:val="16"/>
                <w:szCs w:val="16"/>
              </w:rPr>
              <w:t>Après-midi seniors</w:t>
            </w:r>
          </w:p>
        </w:tc>
        <w:tc>
          <w:tcPr>
            <w:tcW w:w="23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B4122E7" w14:textId="77777777" w:rsidR="000270FC" w:rsidRPr="00D03496" w:rsidRDefault="000270FC" w:rsidP="00526247">
            <w:pPr>
              <w:spacing w:before="75" w:after="75"/>
              <w:rPr>
                <w:rFonts w:cs="Arial"/>
                <w:sz w:val="16"/>
                <w:szCs w:val="16"/>
              </w:rPr>
            </w:pPr>
            <w:r>
              <w:rPr>
                <w:sz w:val="16"/>
                <w:szCs w:val="16"/>
              </w:rPr>
              <w:t>75</w:t>
            </w:r>
          </w:p>
        </w:tc>
      </w:tr>
      <w:tr w:rsidR="000270FC" w:rsidRPr="00D03496" w14:paraId="76B104D6" w14:textId="77777777" w:rsidTr="00526247">
        <w:tc>
          <w:tcPr>
            <w:tcW w:w="7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2B4411E" w14:textId="77777777" w:rsidR="000270FC" w:rsidRPr="00D03496" w:rsidRDefault="000270FC" w:rsidP="00526247">
            <w:pPr>
              <w:spacing w:before="75" w:after="75"/>
              <w:rPr>
                <w:rFonts w:cs="Arial"/>
                <w:sz w:val="16"/>
                <w:szCs w:val="16"/>
              </w:rPr>
            </w:pPr>
            <w:r>
              <w:rPr>
                <w:sz w:val="16"/>
                <w:szCs w:val="16"/>
              </w:rPr>
              <w:t>16</w:t>
            </w:r>
          </w:p>
        </w:tc>
        <w:tc>
          <w:tcPr>
            <w:tcW w:w="55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832C2A3" w14:textId="77777777" w:rsidR="000270FC" w:rsidRPr="00D03496" w:rsidRDefault="000270FC" w:rsidP="00526247">
            <w:pPr>
              <w:rPr>
                <w:rFonts w:cs="Arial"/>
                <w:sz w:val="16"/>
                <w:szCs w:val="16"/>
              </w:rPr>
            </w:pPr>
            <w:r>
              <w:rPr>
                <w:sz w:val="16"/>
                <w:szCs w:val="16"/>
              </w:rPr>
              <w:t>Préparation</w:t>
            </w:r>
          </w:p>
        </w:tc>
        <w:tc>
          <w:tcPr>
            <w:tcW w:w="23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2E61BD89" w14:textId="77777777" w:rsidR="000270FC" w:rsidRPr="00D03496" w:rsidRDefault="000270FC" w:rsidP="00526247">
            <w:pPr>
              <w:rPr>
                <w:rFonts w:cs="Arial"/>
                <w:sz w:val="16"/>
                <w:szCs w:val="16"/>
              </w:rPr>
            </w:pPr>
            <w:r>
              <w:rPr>
                <w:sz w:val="16"/>
                <w:szCs w:val="16"/>
              </w:rPr>
              <w:t>75</w:t>
            </w:r>
          </w:p>
        </w:tc>
      </w:tr>
    </w:tbl>
    <w:p w14:paraId="00137E4E" w14:textId="77777777" w:rsidR="000270FC" w:rsidRPr="00D03496" w:rsidRDefault="000270FC" w:rsidP="000270FC">
      <w:pPr>
        <w:spacing w:before="120" w:line="240" w:lineRule="auto"/>
        <w:rPr>
          <w:rFonts w:cs="Arial"/>
          <w:sz w:val="16"/>
          <w:szCs w:val="16"/>
        </w:rPr>
      </w:pPr>
      <w:r>
        <w:rPr>
          <w:sz w:val="16"/>
          <w:szCs w:val="16"/>
        </w:rPr>
        <w:t xml:space="preserve">Principe </w:t>
      </w:r>
    </w:p>
    <w:p w14:paraId="06E133DB" w14:textId="77777777" w:rsidR="000270FC" w:rsidRPr="00D03496" w:rsidRDefault="000270FC" w:rsidP="000270FC">
      <w:pPr>
        <w:spacing w:line="240" w:lineRule="auto"/>
        <w:rPr>
          <w:rFonts w:cs="Arial"/>
          <w:sz w:val="16"/>
          <w:szCs w:val="16"/>
        </w:rPr>
      </w:pPr>
      <w:r>
        <w:rPr>
          <w:sz w:val="16"/>
          <w:szCs w:val="16"/>
        </w:rPr>
        <w:t>Art. 1</w:t>
      </w:r>
      <w:r>
        <w:rPr>
          <w:sz w:val="16"/>
          <w:szCs w:val="16"/>
          <w:vertAlign w:val="superscript"/>
        </w:rPr>
        <w:t>, 3</w:t>
      </w:r>
      <w:r>
        <w:rPr>
          <w:sz w:val="16"/>
          <w:szCs w:val="16"/>
        </w:rPr>
        <w:t xml:space="preserve"> Pour les fonctions pastorales qu’elle rémunère, l’Eglise nationale assume en principe les coûts de suppléance et de </w:t>
      </w:r>
      <w:proofErr w:type="spellStart"/>
      <w:r>
        <w:rPr>
          <w:sz w:val="16"/>
          <w:szCs w:val="16"/>
        </w:rPr>
        <w:t>desservance</w:t>
      </w:r>
      <w:proofErr w:type="spellEnd"/>
      <w:r>
        <w:rPr>
          <w:sz w:val="16"/>
          <w:szCs w:val="16"/>
        </w:rPr>
        <w:t xml:space="preserve"> en cas de maladie, d’accident, de service militaire, civil ou de protection civile, de service de Care-Team, de congé maternité, de prime de fidélité prise sous forme de congés, de vacances non payées ou de poste vacant. Le Conseil synodal peut édicter des directives à cette fin.</w:t>
      </w:r>
    </w:p>
    <w:p w14:paraId="088F10E9" w14:textId="77777777" w:rsidR="000270FC" w:rsidRPr="00D03496" w:rsidRDefault="000270FC" w:rsidP="000270FC">
      <w:pPr>
        <w:spacing w:line="240" w:lineRule="auto"/>
        <w:rPr>
          <w:rFonts w:cs="Arial"/>
          <w:sz w:val="16"/>
          <w:szCs w:val="16"/>
        </w:rPr>
      </w:pPr>
      <w:r>
        <w:rPr>
          <w:sz w:val="16"/>
          <w:szCs w:val="16"/>
          <w:vertAlign w:val="superscript"/>
        </w:rPr>
        <w:t>4</w:t>
      </w:r>
      <w:r>
        <w:rPr>
          <w:sz w:val="16"/>
          <w:szCs w:val="16"/>
        </w:rPr>
        <w:t xml:space="preserve"> Les coûts liés à tout autre cas d’absence sont à la charge des paroisses. Les dispositions du règlement sur la formation continue restent réservées.</w:t>
      </w:r>
    </w:p>
    <w:p w14:paraId="73886C30" w14:textId="77777777" w:rsidR="000270FC" w:rsidRPr="00D03496" w:rsidRDefault="000270FC" w:rsidP="000270FC">
      <w:pPr>
        <w:spacing w:line="240" w:lineRule="auto"/>
        <w:rPr>
          <w:rFonts w:cs="Arial"/>
          <w:sz w:val="16"/>
          <w:szCs w:val="16"/>
        </w:rPr>
      </w:pPr>
      <w:r>
        <w:rPr>
          <w:sz w:val="16"/>
          <w:szCs w:val="16"/>
        </w:rPr>
        <w:t>Art. 2,</w:t>
      </w:r>
      <w:r>
        <w:rPr>
          <w:sz w:val="16"/>
          <w:szCs w:val="16"/>
          <w:vertAlign w:val="superscript"/>
        </w:rPr>
        <w:t xml:space="preserve"> 1</w:t>
      </w:r>
      <w:r>
        <w:rPr>
          <w:sz w:val="16"/>
          <w:szCs w:val="16"/>
        </w:rPr>
        <w:t xml:space="preserve"> Si l’absence dure moins de sept semaines consécutives, la paroisse fixe le genre et l’étendue de la suppléance.</w:t>
      </w:r>
    </w:p>
    <w:p w14:paraId="53AB6843" w14:textId="77777777" w:rsidR="000270FC" w:rsidRPr="00D03496" w:rsidRDefault="000270FC" w:rsidP="000270FC">
      <w:pPr>
        <w:spacing w:line="240" w:lineRule="auto"/>
        <w:rPr>
          <w:rFonts w:cs="Arial"/>
          <w:sz w:val="16"/>
          <w:szCs w:val="16"/>
        </w:rPr>
      </w:pPr>
      <w:r>
        <w:rPr>
          <w:sz w:val="16"/>
          <w:szCs w:val="16"/>
          <w:vertAlign w:val="superscript"/>
        </w:rPr>
        <w:t>2</w:t>
      </w:r>
      <w:r>
        <w:rPr>
          <w:sz w:val="16"/>
          <w:szCs w:val="16"/>
        </w:rPr>
        <w:t xml:space="preserve"> La paroisse est aidée dans cette tâche par la pasteure régionale ou le pasteur régional. Cette dernière ou ce dernier approuve également la procédure adoptée conformément à l'al. 1.</w:t>
      </w:r>
    </w:p>
    <w:p w14:paraId="71CBBFA8" w14:textId="77777777" w:rsidR="000270FC" w:rsidRPr="00D03496" w:rsidRDefault="000270FC" w:rsidP="000270FC">
      <w:pPr>
        <w:spacing w:line="240" w:lineRule="auto"/>
        <w:rPr>
          <w:rFonts w:cs="Arial"/>
          <w:sz w:val="16"/>
          <w:szCs w:val="16"/>
        </w:rPr>
      </w:pPr>
      <w:r>
        <w:rPr>
          <w:sz w:val="16"/>
          <w:szCs w:val="16"/>
          <w:vertAlign w:val="superscript"/>
        </w:rPr>
        <w:t>3</w:t>
      </w:r>
      <w:r>
        <w:rPr>
          <w:sz w:val="16"/>
          <w:szCs w:val="16"/>
        </w:rPr>
        <w:t xml:space="preserve"> S’il y a lieu d’organiser une suppléance suivant l’al. 1 ou que, dans le cas d’une absence de plus de sept semaines, aucune </w:t>
      </w:r>
      <w:proofErr w:type="spellStart"/>
      <w:r>
        <w:rPr>
          <w:sz w:val="16"/>
          <w:szCs w:val="16"/>
        </w:rPr>
        <w:t>desservance</w:t>
      </w:r>
      <w:proofErr w:type="spellEnd"/>
      <w:r>
        <w:rPr>
          <w:sz w:val="16"/>
          <w:szCs w:val="16"/>
        </w:rPr>
        <w:t xml:space="preserve"> selon l’art. 3 n’est instituée, les indemnités pour chaque activité sont déterminées conformément à l’annexe.</w:t>
      </w:r>
    </w:p>
    <w:p w14:paraId="308490C2" w14:textId="77777777" w:rsidR="000270FC" w:rsidRPr="00D03496" w:rsidRDefault="000270FC" w:rsidP="000270FC">
      <w:pPr>
        <w:spacing w:before="120" w:line="240" w:lineRule="auto"/>
        <w:rPr>
          <w:rFonts w:cs="Arial"/>
          <w:sz w:val="16"/>
          <w:szCs w:val="16"/>
        </w:rPr>
      </w:pPr>
      <w:r>
        <w:rPr>
          <w:sz w:val="16"/>
          <w:szCs w:val="16"/>
        </w:rPr>
        <w:t xml:space="preserve">Indemnité pour service de disponibilité </w:t>
      </w:r>
    </w:p>
    <w:p w14:paraId="68B23EB6" w14:textId="77777777" w:rsidR="000270FC" w:rsidRPr="00D03496" w:rsidRDefault="000270FC" w:rsidP="000270FC">
      <w:pPr>
        <w:spacing w:line="240" w:lineRule="auto"/>
        <w:rPr>
          <w:rFonts w:cs="Arial"/>
          <w:sz w:val="16"/>
          <w:szCs w:val="16"/>
        </w:rPr>
      </w:pPr>
      <w:r>
        <w:rPr>
          <w:sz w:val="16"/>
          <w:szCs w:val="16"/>
        </w:rPr>
        <w:t>Art. 4,</w:t>
      </w:r>
      <w:r>
        <w:rPr>
          <w:sz w:val="16"/>
          <w:szCs w:val="16"/>
          <w:vertAlign w:val="superscript"/>
        </w:rPr>
        <w:t xml:space="preserve"> 2</w:t>
      </w:r>
      <w:r>
        <w:rPr>
          <w:sz w:val="16"/>
          <w:szCs w:val="16"/>
        </w:rPr>
        <w:t xml:space="preserve"> Toute personne qui assure un service de disponibilité doit avoir été consacrée. Le secteur Théologie de l’Eglise nationale statue sur les exceptions.</w:t>
      </w:r>
    </w:p>
    <w:p w14:paraId="191CBCF6" w14:textId="77777777" w:rsidR="000270FC" w:rsidRPr="00D03496" w:rsidRDefault="000270FC" w:rsidP="000270FC">
      <w:pPr>
        <w:spacing w:before="120" w:line="240" w:lineRule="auto"/>
        <w:rPr>
          <w:rFonts w:cs="Arial"/>
          <w:sz w:val="16"/>
          <w:szCs w:val="16"/>
        </w:rPr>
      </w:pPr>
      <w:r>
        <w:rPr>
          <w:sz w:val="16"/>
          <w:szCs w:val="16"/>
        </w:rPr>
        <w:t>Remboursement des frais</w:t>
      </w:r>
    </w:p>
    <w:p w14:paraId="7E89F1F8" w14:textId="56ABABCD" w:rsidR="00DA56F9" w:rsidRPr="009E580A" w:rsidRDefault="000270FC" w:rsidP="00C00740">
      <w:pPr>
        <w:spacing w:line="240" w:lineRule="auto"/>
        <w:rPr>
          <w:b/>
        </w:rPr>
      </w:pPr>
      <w:r>
        <w:rPr>
          <w:sz w:val="16"/>
          <w:szCs w:val="16"/>
        </w:rPr>
        <w:t>Art. 70 RPCp,</w:t>
      </w:r>
      <w:r>
        <w:rPr>
          <w:sz w:val="16"/>
          <w:szCs w:val="16"/>
          <w:vertAlign w:val="superscript"/>
        </w:rPr>
        <w:t>1</w:t>
      </w:r>
      <w:r>
        <w:rPr>
          <w:sz w:val="16"/>
          <w:szCs w:val="16"/>
        </w:rPr>
        <w:t xml:space="preserve">Conformément  aux  dispositions  qu’elle  a  </w:t>
      </w:r>
      <w:r w:rsidR="00FC6F44">
        <w:rPr>
          <w:sz w:val="16"/>
          <w:szCs w:val="16"/>
        </w:rPr>
        <w:t>édictées,  l’autorité  d’engage</w:t>
      </w:r>
      <w:r>
        <w:rPr>
          <w:sz w:val="16"/>
          <w:szCs w:val="16"/>
        </w:rPr>
        <w:t>ment rembourse aux collaboratrices et collaborateurs les frais occasionnés par l’accomplissement de leurs tâches.</w:t>
      </w:r>
    </w:p>
    <w:sectPr w:rsidR="00DA56F9" w:rsidRPr="009E580A" w:rsidSect="002D04C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76" w:right="1361" w:bottom="1135" w:left="1418" w:header="510" w:footer="53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617B6" w14:textId="77777777" w:rsidR="00001203" w:rsidRDefault="00001203" w:rsidP="008C3F97">
      <w:pPr>
        <w:spacing w:line="240" w:lineRule="auto"/>
      </w:pPr>
      <w:r>
        <w:separator/>
      </w:r>
    </w:p>
  </w:endnote>
  <w:endnote w:type="continuationSeparator" w:id="0">
    <w:p w14:paraId="4CA22D72" w14:textId="77777777" w:rsidR="00001203" w:rsidRDefault="00001203" w:rsidP="008C3F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1ADC0" w14:textId="77777777" w:rsidR="005D5BE4" w:rsidRDefault="005D5BE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D889D" w14:textId="77777777" w:rsidR="00285044" w:rsidRDefault="00285044" w:rsidP="00FA3A26">
    <w:pPr>
      <w:pStyle w:val="Absender"/>
      <w:ind w:right="-229"/>
      <w:rPr>
        <w:rFonts w:cs="Arial"/>
      </w:rPr>
    </w:pPr>
    <w:r>
      <w:t xml:space="preserve">Eglises réformées Berne-Jura-Soleure | Service du personnel | </w:t>
    </w:r>
    <w:proofErr w:type="spellStart"/>
    <w:r>
      <w:t>Altenbergstrasse</w:t>
    </w:r>
    <w:proofErr w:type="spellEnd"/>
    <w:r>
      <w:t xml:space="preserve"> 66 | case postale | 3000 Berne 22</w:t>
    </w:r>
  </w:p>
  <w:p w14:paraId="10EED790" w14:textId="5D1365DB" w:rsidR="00285044" w:rsidRPr="00285044" w:rsidRDefault="00285044" w:rsidP="00FA3A26">
    <w:pPr>
      <w:pStyle w:val="Absender"/>
      <w:tabs>
        <w:tab w:val="right" w:pos="8931"/>
      </w:tabs>
      <w:ind w:right="-229"/>
      <w:rPr>
        <w:rFonts w:cs="Arial"/>
      </w:rPr>
    </w:pPr>
    <w:r>
      <w:t>Téléphone +41 31 340 24 24 |</w:t>
    </w:r>
    <w:r w:rsidR="005D5BE4">
      <w:t xml:space="preserve"> </w:t>
    </w:r>
    <w:r>
      <w:t xml:space="preserve">personnel@refbejuso.ch | </w:t>
    </w:r>
    <w:hyperlink r:id="rId1" w:history="1">
      <w:r>
        <w:rPr>
          <w:rStyle w:val="Hyperlink"/>
        </w:rPr>
        <w:t>www.refbejuso.ch</w:t>
      </w:r>
    </w:hyperlink>
    <w:r>
      <w:t xml:space="preserve"> </w:t>
    </w:r>
    <w:r>
      <w:tab/>
      <w:t xml:space="preserve">page </w:t>
    </w:r>
    <w:r>
      <w:rPr>
        <w:rFonts w:cs="Arial"/>
      </w:rPr>
      <w:fldChar w:fldCharType="begin"/>
    </w:r>
    <w:r>
      <w:rPr>
        <w:rFonts w:cs="Arial"/>
      </w:rPr>
      <w:instrText xml:space="preserve"> PAGE   \* MERGEFORMAT </w:instrText>
    </w:r>
    <w:r>
      <w:rPr>
        <w:rFonts w:cs="Arial"/>
      </w:rPr>
      <w:fldChar w:fldCharType="separate"/>
    </w:r>
    <w:r w:rsidR="007B750A">
      <w:rPr>
        <w:rFonts w:cs="Arial"/>
        <w:noProof/>
      </w:rPr>
      <w:t>2</w:t>
    </w:r>
    <w:r>
      <w:rPr>
        <w:rFonts w:cs="Arial"/>
      </w:rPr>
      <w:fldChar w:fldCharType="end"/>
    </w:r>
    <w:r>
      <w:t xml:space="preserve"> de </w:t>
    </w:r>
    <w:r>
      <w:rPr>
        <w:rFonts w:cs="Arial"/>
      </w:rPr>
      <w:fldChar w:fldCharType="begin"/>
    </w:r>
    <w:r>
      <w:rPr>
        <w:rFonts w:cs="Arial"/>
      </w:rPr>
      <w:instrText xml:space="preserve"> NUMPAGES   \* MERGEFORMAT </w:instrText>
    </w:r>
    <w:r>
      <w:rPr>
        <w:rFonts w:cs="Arial"/>
      </w:rPr>
      <w:fldChar w:fldCharType="separate"/>
    </w:r>
    <w:r w:rsidR="007B750A">
      <w:rPr>
        <w:rFonts w:cs="Arial"/>
        <w:noProof/>
      </w:rPr>
      <w:t>2</w:t>
    </w:r>
    <w:r>
      <w:rPr>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D51E6" w14:textId="77777777" w:rsidR="004D2758" w:rsidRDefault="004D2758" w:rsidP="00FA3A26">
    <w:pPr>
      <w:pStyle w:val="Absender"/>
      <w:ind w:right="-229"/>
      <w:rPr>
        <w:rFonts w:cs="Arial"/>
      </w:rPr>
    </w:pPr>
    <w:r>
      <w:t xml:space="preserve">Eglises réformées Berne-Jura-Soleure | Service du personnel | </w:t>
    </w:r>
    <w:proofErr w:type="spellStart"/>
    <w:r>
      <w:t>Altenbergstrasse</w:t>
    </w:r>
    <w:proofErr w:type="spellEnd"/>
    <w:r>
      <w:t xml:space="preserve"> 66 | case postale | </w:t>
    </w:r>
    <w:r w:rsidRPr="00FA3A26">
      <w:t>3000 Berne 22</w:t>
    </w:r>
  </w:p>
  <w:p w14:paraId="3C7BA60B" w14:textId="6EB6262F" w:rsidR="004D2758" w:rsidRPr="008D3C29" w:rsidRDefault="004D2758" w:rsidP="00FA3A26">
    <w:pPr>
      <w:pStyle w:val="Absender"/>
      <w:tabs>
        <w:tab w:val="right" w:pos="8931"/>
      </w:tabs>
      <w:ind w:right="-229"/>
      <w:rPr>
        <w:rFonts w:cs="Arial"/>
      </w:rPr>
    </w:pPr>
    <w:r>
      <w:t>Téléphone +41 31 340 24 24 |</w:t>
    </w:r>
    <w:r w:rsidR="00B3000C">
      <w:t xml:space="preserve"> </w:t>
    </w:r>
    <w:r>
      <w:t xml:space="preserve">personnel@refbejuso.ch | </w:t>
    </w:r>
    <w:hyperlink r:id="rId1" w:history="1">
      <w:r>
        <w:rPr>
          <w:rStyle w:val="Hyperlink"/>
        </w:rPr>
        <w:t>www.refbejuso.ch</w:t>
      </w:r>
    </w:hyperlink>
    <w:r>
      <w:t xml:space="preserve"> </w:t>
    </w:r>
    <w:r>
      <w:tab/>
      <w:t xml:space="preserve">page </w:t>
    </w:r>
    <w:r w:rsidR="00285044">
      <w:rPr>
        <w:rFonts w:cs="Arial"/>
      </w:rPr>
      <w:fldChar w:fldCharType="begin"/>
    </w:r>
    <w:r w:rsidR="00285044">
      <w:rPr>
        <w:rFonts w:cs="Arial"/>
      </w:rPr>
      <w:instrText xml:space="preserve"> PAGE   \* MERGEFORMAT </w:instrText>
    </w:r>
    <w:r w:rsidR="00285044">
      <w:rPr>
        <w:rFonts w:cs="Arial"/>
      </w:rPr>
      <w:fldChar w:fldCharType="separate"/>
    </w:r>
    <w:r w:rsidR="007B750A">
      <w:rPr>
        <w:rFonts w:cs="Arial"/>
        <w:noProof/>
      </w:rPr>
      <w:t>1</w:t>
    </w:r>
    <w:r w:rsidR="00285044">
      <w:rPr>
        <w:rFonts w:cs="Arial"/>
      </w:rPr>
      <w:fldChar w:fldCharType="end"/>
    </w:r>
    <w:r>
      <w:t xml:space="preserve"> de </w:t>
    </w:r>
    <w:r w:rsidR="00285044">
      <w:rPr>
        <w:rFonts w:cs="Arial"/>
      </w:rPr>
      <w:fldChar w:fldCharType="begin"/>
    </w:r>
    <w:r w:rsidR="00285044">
      <w:rPr>
        <w:rFonts w:cs="Arial"/>
      </w:rPr>
      <w:instrText xml:space="preserve"> NUMPAGES   \* MERGEFORMAT </w:instrText>
    </w:r>
    <w:r w:rsidR="00285044">
      <w:rPr>
        <w:rFonts w:cs="Arial"/>
      </w:rPr>
      <w:fldChar w:fldCharType="separate"/>
    </w:r>
    <w:r w:rsidR="007B750A">
      <w:rPr>
        <w:rFonts w:cs="Arial"/>
        <w:noProof/>
      </w:rPr>
      <w:t>2</w:t>
    </w:r>
    <w:r w:rsidR="00285044">
      <w:rP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46E43" w14:textId="77777777" w:rsidR="00001203" w:rsidRDefault="00001203" w:rsidP="008C3F97">
      <w:pPr>
        <w:spacing w:line="240" w:lineRule="auto"/>
      </w:pPr>
      <w:r>
        <w:separator/>
      </w:r>
    </w:p>
  </w:footnote>
  <w:footnote w:type="continuationSeparator" w:id="0">
    <w:p w14:paraId="1738E626" w14:textId="77777777" w:rsidR="00001203" w:rsidRDefault="00001203" w:rsidP="008C3F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862AE" w14:textId="77777777" w:rsidR="005D5BE4" w:rsidRDefault="005D5BE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18AFF" w14:textId="77777777" w:rsidR="005D5BE4" w:rsidRDefault="005D5BE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6B752" w14:textId="77777777" w:rsidR="004D2758" w:rsidRDefault="004D2758" w:rsidP="00791C16">
    <w:pPr>
      <w:pStyle w:val="Grundtext"/>
    </w:pPr>
    <w:r>
      <w:rPr>
        <w:noProof/>
        <w:lang w:val="de-CH" w:eastAsia="de-CH" w:bidi="he-IL"/>
      </w:rPr>
      <w:drawing>
        <wp:anchor distT="0" distB="0" distL="114300" distR="114300" simplePos="0" relativeHeight="251670528" behindDoc="1" locked="0" layoutInCell="1" allowOverlap="1" wp14:anchorId="2AB409AD" wp14:editId="57E3F73B">
          <wp:simplePos x="0" y="0"/>
          <wp:positionH relativeFrom="page">
            <wp:posOffset>5436870</wp:posOffset>
          </wp:positionH>
          <wp:positionV relativeFrom="page">
            <wp:posOffset>85725</wp:posOffset>
          </wp:positionV>
          <wp:extent cx="1819275" cy="1638300"/>
          <wp:effectExtent l="19050" t="0" r="0" b="0"/>
          <wp:wrapNone/>
          <wp:docPr id="4" name="Grafik 0" descr="logo_refbejuso_defr_schwarz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fbejuso_defr_schwarz_300dpi.jpg"/>
                  <pic:cNvPicPr/>
                </pic:nvPicPr>
                <pic:blipFill>
                  <a:blip r:embed="rId1"/>
                  <a:stretch>
                    <a:fillRect/>
                  </a:stretch>
                </pic:blipFill>
                <pic:spPr>
                  <a:xfrm>
                    <a:off x="0" y="0"/>
                    <a:ext cx="1817964" cy="163829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56FD5"/>
    <w:multiLevelType w:val="hybridMultilevel"/>
    <w:tmpl w:val="351E2AA2"/>
    <w:lvl w:ilvl="0" w:tplc="0090D3EA">
      <w:start w:val="1"/>
      <w:numFmt w:val="bullet"/>
      <w:pStyle w:val="Grundtext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203"/>
    <w:rsid w:val="00001203"/>
    <w:rsid w:val="000219A6"/>
    <w:rsid w:val="000263CC"/>
    <w:rsid w:val="000270FC"/>
    <w:rsid w:val="000326FF"/>
    <w:rsid w:val="00033281"/>
    <w:rsid w:val="00037F61"/>
    <w:rsid w:val="000626A4"/>
    <w:rsid w:val="000917C9"/>
    <w:rsid w:val="000A041E"/>
    <w:rsid w:val="0010273E"/>
    <w:rsid w:val="001146BE"/>
    <w:rsid w:val="00136E1F"/>
    <w:rsid w:val="001517C1"/>
    <w:rsid w:val="001530A1"/>
    <w:rsid w:val="00164BFB"/>
    <w:rsid w:val="00171F75"/>
    <w:rsid w:val="00177FD9"/>
    <w:rsid w:val="00195938"/>
    <w:rsid w:val="00195D40"/>
    <w:rsid w:val="001A5A51"/>
    <w:rsid w:val="001C054E"/>
    <w:rsid w:val="001C4650"/>
    <w:rsid w:val="001F77EA"/>
    <w:rsid w:val="0020151D"/>
    <w:rsid w:val="00202A0B"/>
    <w:rsid w:val="00215535"/>
    <w:rsid w:val="00220157"/>
    <w:rsid w:val="00250C19"/>
    <w:rsid w:val="00252A60"/>
    <w:rsid w:val="0026072A"/>
    <w:rsid w:val="002726AE"/>
    <w:rsid w:val="00280BEF"/>
    <w:rsid w:val="00285044"/>
    <w:rsid w:val="0029769C"/>
    <w:rsid w:val="002D04C8"/>
    <w:rsid w:val="002D5532"/>
    <w:rsid w:val="002E187C"/>
    <w:rsid w:val="002E4C0A"/>
    <w:rsid w:val="0030506B"/>
    <w:rsid w:val="00323117"/>
    <w:rsid w:val="00332DD6"/>
    <w:rsid w:val="0034442B"/>
    <w:rsid w:val="0035115F"/>
    <w:rsid w:val="0038230A"/>
    <w:rsid w:val="00392130"/>
    <w:rsid w:val="003A3A36"/>
    <w:rsid w:val="003B7AAF"/>
    <w:rsid w:val="003D3AA2"/>
    <w:rsid w:val="003D5AD2"/>
    <w:rsid w:val="003D6E53"/>
    <w:rsid w:val="003D7B92"/>
    <w:rsid w:val="00401EAB"/>
    <w:rsid w:val="00436F60"/>
    <w:rsid w:val="004561CD"/>
    <w:rsid w:val="0048333C"/>
    <w:rsid w:val="004D2758"/>
    <w:rsid w:val="004F7098"/>
    <w:rsid w:val="00501F1B"/>
    <w:rsid w:val="005066FE"/>
    <w:rsid w:val="00526769"/>
    <w:rsid w:val="00532374"/>
    <w:rsid w:val="005B0418"/>
    <w:rsid w:val="005C0919"/>
    <w:rsid w:val="005D5BE4"/>
    <w:rsid w:val="005F0BA0"/>
    <w:rsid w:val="005F2AB9"/>
    <w:rsid w:val="00622A94"/>
    <w:rsid w:val="0062447E"/>
    <w:rsid w:val="00625A33"/>
    <w:rsid w:val="006479BF"/>
    <w:rsid w:val="00662641"/>
    <w:rsid w:val="0066571F"/>
    <w:rsid w:val="00674C63"/>
    <w:rsid w:val="0067559F"/>
    <w:rsid w:val="006B53B0"/>
    <w:rsid w:val="006C3DE4"/>
    <w:rsid w:val="006D1D71"/>
    <w:rsid w:val="00701464"/>
    <w:rsid w:val="00730B5B"/>
    <w:rsid w:val="00767844"/>
    <w:rsid w:val="0078297E"/>
    <w:rsid w:val="007834FA"/>
    <w:rsid w:val="00791C16"/>
    <w:rsid w:val="00797D18"/>
    <w:rsid w:val="007A3DF7"/>
    <w:rsid w:val="007B750A"/>
    <w:rsid w:val="007D0E2D"/>
    <w:rsid w:val="007D460F"/>
    <w:rsid w:val="008019BA"/>
    <w:rsid w:val="0081666C"/>
    <w:rsid w:val="008279AC"/>
    <w:rsid w:val="00831CC5"/>
    <w:rsid w:val="0084443D"/>
    <w:rsid w:val="00846F04"/>
    <w:rsid w:val="00847409"/>
    <w:rsid w:val="00857442"/>
    <w:rsid w:val="0086171C"/>
    <w:rsid w:val="00877688"/>
    <w:rsid w:val="00887EC9"/>
    <w:rsid w:val="008B4525"/>
    <w:rsid w:val="008C3F97"/>
    <w:rsid w:val="008D3C29"/>
    <w:rsid w:val="008E11FE"/>
    <w:rsid w:val="00907733"/>
    <w:rsid w:val="00910751"/>
    <w:rsid w:val="00924E96"/>
    <w:rsid w:val="009302F0"/>
    <w:rsid w:val="0097035D"/>
    <w:rsid w:val="00981B4A"/>
    <w:rsid w:val="009A14F1"/>
    <w:rsid w:val="009A55BB"/>
    <w:rsid w:val="009A6187"/>
    <w:rsid w:val="009B02D1"/>
    <w:rsid w:val="009B0C3E"/>
    <w:rsid w:val="009B3472"/>
    <w:rsid w:val="009C1537"/>
    <w:rsid w:val="009C4186"/>
    <w:rsid w:val="009D66E1"/>
    <w:rsid w:val="009D6E7A"/>
    <w:rsid w:val="009E580A"/>
    <w:rsid w:val="009F04A9"/>
    <w:rsid w:val="009F3BBD"/>
    <w:rsid w:val="00A21BE6"/>
    <w:rsid w:val="00A37A3F"/>
    <w:rsid w:val="00A4028C"/>
    <w:rsid w:val="00A46583"/>
    <w:rsid w:val="00A646F3"/>
    <w:rsid w:val="00A875BF"/>
    <w:rsid w:val="00AB3EBF"/>
    <w:rsid w:val="00AC00C8"/>
    <w:rsid w:val="00AF1B82"/>
    <w:rsid w:val="00AF6C94"/>
    <w:rsid w:val="00B13B50"/>
    <w:rsid w:val="00B3000C"/>
    <w:rsid w:val="00B42315"/>
    <w:rsid w:val="00B46DDE"/>
    <w:rsid w:val="00B57092"/>
    <w:rsid w:val="00B61F2C"/>
    <w:rsid w:val="00B64F1F"/>
    <w:rsid w:val="00B937A1"/>
    <w:rsid w:val="00BA53C0"/>
    <w:rsid w:val="00BB74D6"/>
    <w:rsid w:val="00BC7FB6"/>
    <w:rsid w:val="00C00740"/>
    <w:rsid w:val="00C9408F"/>
    <w:rsid w:val="00CA2280"/>
    <w:rsid w:val="00CA7D2A"/>
    <w:rsid w:val="00CB6228"/>
    <w:rsid w:val="00CC0240"/>
    <w:rsid w:val="00CD0F87"/>
    <w:rsid w:val="00CF5119"/>
    <w:rsid w:val="00CF6F75"/>
    <w:rsid w:val="00D035ED"/>
    <w:rsid w:val="00D20B7F"/>
    <w:rsid w:val="00D71750"/>
    <w:rsid w:val="00D7410E"/>
    <w:rsid w:val="00D92702"/>
    <w:rsid w:val="00DA053B"/>
    <w:rsid w:val="00DA56F9"/>
    <w:rsid w:val="00DB7BE6"/>
    <w:rsid w:val="00DC721A"/>
    <w:rsid w:val="00DE1926"/>
    <w:rsid w:val="00E60D5E"/>
    <w:rsid w:val="00E85FF0"/>
    <w:rsid w:val="00EB3F66"/>
    <w:rsid w:val="00ED20A0"/>
    <w:rsid w:val="00EF093C"/>
    <w:rsid w:val="00F03B44"/>
    <w:rsid w:val="00F2707B"/>
    <w:rsid w:val="00F41D50"/>
    <w:rsid w:val="00F5237D"/>
    <w:rsid w:val="00F54710"/>
    <w:rsid w:val="00F62F08"/>
    <w:rsid w:val="00F66183"/>
    <w:rsid w:val="00F7098E"/>
    <w:rsid w:val="00F77B5E"/>
    <w:rsid w:val="00FA3A26"/>
    <w:rsid w:val="00FC6F44"/>
    <w:rsid w:val="00FE2857"/>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3BBBDE9"/>
  <w15:docId w15:val="{91786DD6-DB9B-4D76-A072-97ADD4A2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fr-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270FC"/>
    <w:rPr>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C721A"/>
    <w:rPr>
      <w:color w:val="808080"/>
    </w:rPr>
  </w:style>
  <w:style w:type="paragraph" w:customStyle="1" w:styleId="Grundtext">
    <w:name w:val="Grundtext"/>
    <w:basedOn w:val="Standard"/>
    <w:qFormat/>
    <w:rsid w:val="00DE1926"/>
    <w:pPr>
      <w:tabs>
        <w:tab w:val="left" w:pos="227"/>
      </w:tabs>
      <w:spacing w:line="280" w:lineRule="atLeast"/>
    </w:pPr>
    <w:rPr>
      <w:szCs w:val="22"/>
    </w:rPr>
  </w:style>
  <w:style w:type="paragraph" w:customStyle="1" w:styleId="Betreffzeile">
    <w:name w:val="Betreffzeile"/>
    <w:basedOn w:val="Grundtext"/>
    <w:next w:val="Grundtext"/>
    <w:qFormat/>
    <w:rsid w:val="00DE1926"/>
    <w:pPr>
      <w:spacing w:after="280"/>
    </w:pPr>
    <w:rPr>
      <w:b/>
    </w:rPr>
  </w:style>
  <w:style w:type="paragraph" w:customStyle="1" w:styleId="Rcksendeadresse">
    <w:name w:val="Rücksendeadresse"/>
    <w:basedOn w:val="Grundtext"/>
    <w:qFormat/>
    <w:rsid w:val="009B3472"/>
    <w:pPr>
      <w:spacing w:line="200" w:lineRule="atLeast"/>
    </w:pPr>
    <w:rPr>
      <w:sz w:val="13"/>
    </w:rPr>
  </w:style>
  <w:style w:type="paragraph" w:customStyle="1" w:styleId="Absender">
    <w:name w:val="Absender"/>
    <w:basedOn w:val="Grundtext"/>
    <w:qFormat/>
    <w:rsid w:val="00DE1926"/>
    <w:pPr>
      <w:spacing w:line="220" w:lineRule="atLeast"/>
    </w:pPr>
    <w:rPr>
      <w:sz w:val="18"/>
    </w:rPr>
  </w:style>
  <w:style w:type="paragraph" w:customStyle="1" w:styleId="Pagina">
    <w:name w:val="Pagina"/>
    <w:basedOn w:val="Absender"/>
    <w:qFormat/>
    <w:rsid w:val="00DE1926"/>
    <w:rPr>
      <w:sz w:val="15"/>
    </w:rPr>
  </w:style>
  <w:style w:type="paragraph" w:styleId="Fuzeile">
    <w:name w:val="footer"/>
    <w:basedOn w:val="Standard"/>
    <w:link w:val="FuzeileZchn"/>
    <w:uiPriority w:val="99"/>
    <w:unhideWhenUsed/>
    <w:rsid w:val="00DE1926"/>
    <w:pPr>
      <w:tabs>
        <w:tab w:val="center" w:pos="4536"/>
        <w:tab w:val="right" w:pos="9072"/>
      </w:tabs>
      <w:spacing w:line="240" w:lineRule="auto"/>
    </w:pPr>
    <w:rPr>
      <w:szCs w:val="22"/>
    </w:rPr>
  </w:style>
  <w:style w:type="character" w:customStyle="1" w:styleId="FuzeileZchn">
    <w:name w:val="Fußzeile Zchn"/>
    <w:basedOn w:val="Absatz-Standardschriftart"/>
    <w:link w:val="Fuzeile"/>
    <w:uiPriority w:val="99"/>
    <w:rsid w:val="00DE1926"/>
  </w:style>
  <w:style w:type="paragraph" w:customStyle="1" w:styleId="GrundtextAufzhlung">
    <w:name w:val="Grundtext_Aufzählung"/>
    <w:basedOn w:val="Grundtext"/>
    <w:qFormat/>
    <w:rsid w:val="00DE1926"/>
    <w:pPr>
      <w:numPr>
        <w:numId w:val="1"/>
      </w:numPr>
      <w:ind w:left="227" w:hanging="227"/>
    </w:pPr>
  </w:style>
  <w:style w:type="paragraph" w:styleId="Kopfzeile">
    <w:name w:val="header"/>
    <w:basedOn w:val="Standard"/>
    <w:link w:val="KopfzeileZchn"/>
    <w:uiPriority w:val="99"/>
    <w:unhideWhenUsed/>
    <w:rsid w:val="008D3C29"/>
    <w:pPr>
      <w:tabs>
        <w:tab w:val="center" w:pos="4536"/>
        <w:tab w:val="right" w:pos="9072"/>
      </w:tabs>
      <w:spacing w:line="240" w:lineRule="auto"/>
    </w:pPr>
    <w:rPr>
      <w:szCs w:val="22"/>
    </w:rPr>
  </w:style>
  <w:style w:type="character" w:customStyle="1" w:styleId="KopfzeileZchn">
    <w:name w:val="Kopfzeile Zchn"/>
    <w:basedOn w:val="Absatz-Standardschriftart"/>
    <w:link w:val="Kopfzeile"/>
    <w:uiPriority w:val="99"/>
    <w:rsid w:val="008D3C29"/>
  </w:style>
  <w:style w:type="paragraph" w:customStyle="1" w:styleId="Tabelle">
    <w:name w:val="Tabelle"/>
    <w:basedOn w:val="Grundtext"/>
    <w:qFormat/>
    <w:rsid w:val="009E580A"/>
    <w:pPr>
      <w:spacing w:line="200" w:lineRule="atLeast"/>
    </w:pPr>
    <w:rPr>
      <w:sz w:val="16"/>
      <w:szCs w:val="16"/>
    </w:rPr>
  </w:style>
  <w:style w:type="table" w:styleId="Tabellenraster">
    <w:name w:val="Table Grid"/>
    <w:basedOn w:val="NormaleTabelle"/>
    <w:uiPriority w:val="59"/>
    <w:rsid w:val="009E580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01203"/>
    <w:rPr>
      <w:color w:val="0000FF" w:themeColor="hyperlink"/>
      <w:u w:val="single"/>
    </w:rPr>
  </w:style>
  <w:style w:type="paragraph" w:styleId="Sprechblasentext">
    <w:name w:val="Balloon Text"/>
    <w:basedOn w:val="Standard"/>
    <w:link w:val="SprechblasentextZchn"/>
    <w:uiPriority w:val="99"/>
    <w:semiHidden/>
    <w:unhideWhenUsed/>
    <w:rsid w:val="0078297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8297E"/>
    <w:rPr>
      <w:rFonts w:ascii="Segoe UI" w:hAnsi="Segoe UI" w:cs="Segoe UI"/>
      <w:sz w:val="18"/>
      <w:szCs w:val="18"/>
    </w:rPr>
  </w:style>
  <w:style w:type="paragraph" w:styleId="Kommentartext">
    <w:name w:val="annotation text"/>
    <w:uiPriority w:val="99"/>
    <w:semiHidden/>
    <w:unhideWhenUsed/>
    <w:pPr>
      <w:spacing w:line="240" w:lineRule="auto"/>
    </w:pPr>
    <w:rPr>
      <w:szCs w:val="20"/>
    </w:rPr>
  </w:style>
  <w:style w:type="character" w:styleId="Kommentarzeichen">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refbejuso.c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efbejuso.ch"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16F42-F266-4477-98C4-3B0144B28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3585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Scarton + Stingelin</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Marchesoni Doris</dc:creator>
  <cp:keywords/>
  <dc:description/>
  <cp:lastModifiedBy>Baumann Bertrand</cp:lastModifiedBy>
  <cp:revision>12</cp:revision>
  <cp:lastPrinted>2019-09-30T13:46:00Z</cp:lastPrinted>
  <dcterms:created xsi:type="dcterms:W3CDTF">2019-11-08T10:05:00Z</dcterms:created>
  <dcterms:modified xsi:type="dcterms:W3CDTF">2019-11-26T07:53:00Z</dcterms:modified>
</cp:coreProperties>
</file>